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582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CN" w:bidi="ar"/>
        </w:rPr>
        <w:t>附件</w:t>
      </w:r>
      <w:r>
        <w:rPr>
          <w:rFonts w:hint="default" w:ascii="Times New Roman" w:hAnsi="Times New Roman" w:eastAsia="黑体" w:cs="Times New Roman"/>
          <w:color w:val="auto"/>
          <w:kern w:val="2"/>
          <w:sz w:val="32"/>
          <w:szCs w:val="32"/>
          <w:highlight w:val="none"/>
          <w:lang w:val="en-US" w:eastAsia="zh" w:bidi="ar"/>
        </w:rPr>
        <w:t>4</w:t>
      </w:r>
    </w:p>
    <w:p w14:paraId="4D9E4CC7">
      <w:pPr>
        <w:keepNext w:val="0"/>
        <w:keepLines w:val="0"/>
        <w:widowControl w:val="0"/>
        <w:suppressLineNumbers w:val="0"/>
        <w:autoSpaceDE w:val="0"/>
        <w:autoSpaceDN/>
        <w:spacing w:before="0" w:beforeLines="0" w:beforeAutospacing="0" w:after="0" w:afterLines="0" w:afterAutospacing="0" w:line="560" w:lineRule="exact"/>
        <w:ind w:left="0" w:leftChars="0" w:right="0"/>
        <w:jc w:val="center"/>
        <w:outlineLvl w:val="0"/>
        <w:rPr>
          <w:highlight w:val="none"/>
        </w:rPr>
      </w:pPr>
      <w:r>
        <w:rPr>
          <w:rFonts w:hint="eastAsia" w:ascii="方正小标宋简体" w:hAnsi="方正小标宋简体" w:eastAsia="方正小标宋简体" w:cs="方正小标宋简体"/>
          <w:kern w:val="2"/>
          <w:sz w:val="44"/>
          <w:szCs w:val="44"/>
          <w:highlight w:val="none"/>
          <w:lang w:val="en-US" w:eastAsia="zh-CN" w:bidi="ar"/>
        </w:rPr>
        <w:t>湖南省</w:t>
      </w:r>
      <w:r>
        <w:rPr>
          <w:rFonts w:hint="eastAsia" w:ascii="方正小标宋简体" w:hAnsi="方正小标宋简体" w:eastAsia="方正小标宋简体" w:cs="方正小标宋简体"/>
          <w:kern w:val="2"/>
          <w:sz w:val="44"/>
          <w:szCs w:val="44"/>
          <w:highlight w:val="none"/>
          <w:lang w:val="en-US" w:eastAsia="zh" w:bidi="ar"/>
        </w:rPr>
        <w:t>省本级“三医”领域</w:t>
      </w:r>
      <w:r>
        <w:rPr>
          <w:rFonts w:hint="eastAsia" w:ascii="方正小标宋简体" w:hAnsi="方正小标宋简体" w:eastAsia="方正小标宋简体" w:cs="方正小标宋简体"/>
          <w:kern w:val="2"/>
          <w:sz w:val="44"/>
          <w:szCs w:val="44"/>
          <w:highlight w:val="none"/>
          <w:lang w:val="en-US" w:eastAsia="zh-CN" w:bidi="ar"/>
        </w:rPr>
        <w:t>公共数据资源</w:t>
      </w:r>
    </w:p>
    <w:p w14:paraId="15F739EA">
      <w:pPr>
        <w:keepNext w:val="0"/>
        <w:keepLines w:val="0"/>
        <w:widowControl w:val="0"/>
        <w:suppressLineNumbers w:val="0"/>
        <w:autoSpaceDE w:val="0"/>
        <w:autoSpaceDN/>
        <w:spacing w:before="0" w:beforeLines="0" w:beforeAutospacing="0" w:after="0" w:afterLines="0" w:afterAutospacing="0" w:line="560" w:lineRule="exact"/>
        <w:ind w:left="0" w:leftChars="0" w:right="0"/>
        <w:jc w:val="center"/>
        <w:outlineLvl w:val="0"/>
        <w:rPr>
          <w:highlight w:val="none"/>
        </w:rPr>
      </w:pPr>
      <w:r>
        <w:rPr>
          <w:rFonts w:hint="eastAsia" w:ascii="方正小标宋简体" w:hAnsi="方正小标宋简体" w:eastAsia="方正小标宋简体" w:cs="方正小标宋简体"/>
          <w:kern w:val="2"/>
          <w:sz w:val="44"/>
          <w:szCs w:val="44"/>
          <w:highlight w:val="none"/>
          <w:lang w:val="en-US" w:eastAsia="zh-CN" w:bidi="ar"/>
        </w:rPr>
        <w:t>授权运营机构评审标准</w:t>
      </w:r>
    </w:p>
    <w:tbl>
      <w:tblPr>
        <w:tblStyle w:val="5"/>
        <w:tblW w:w="1058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44"/>
        <w:gridCol w:w="1425"/>
        <w:gridCol w:w="7818"/>
      </w:tblGrid>
      <w:tr w14:paraId="6F602D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blHeader/>
          <w:jc w:val="center"/>
        </w:trPr>
        <w:tc>
          <w:tcPr>
            <w:tcW w:w="1344" w:type="dxa"/>
            <w:noWrap w:val="0"/>
            <w:vAlign w:val="center"/>
          </w:tcPr>
          <w:p w14:paraId="4E4519D9">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黑体" w:cs="Times New Roman"/>
                <w:b w:val="0"/>
                <w:color w:val="auto"/>
                <w:kern w:val="0"/>
                <w:sz w:val="24"/>
                <w:szCs w:val="24"/>
                <w:highlight w:val="none"/>
                <w:lang w:eastAsia="zh"/>
              </w:rPr>
            </w:pPr>
            <w:r>
              <w:rPr>
                <w:rFonts w:hint="default" w:ascii="Times New Roman" w:hAnsi="Times New Roman" w:eastAsia="黑体" w:cs="Times New Roman"/>
                <w:b w:val="0"/>
                <w:color w:val="auto"/>
                <w:kern w:val="0"/>
                <w:sz w:val="24"/>
                <w:szCs w:val="24"/>
                <w:highlight w:val="none"/>
                <w:lang w:eastAsia="zh"/>
              </w:rPr>
              <w:t>申报条件</w:t>
            </w:r>
          </w:p>
        </w:tc>
        <w:tc>
          <w:tcPr>
            <w:tcW w:w="1425" w:type="dxa"/>
            <w:noWrap w:val="0"/>
            <w:vAlign w:val="center"/>
          </w:tcPr>
          <w:p w14:paraId="440664DF">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黑体" w:cs="Times New Roman"/>
                <w:b w:val="0"/>
                <w:color w:val="auto"/>
                <w:kern w:val="0"/>
                <w:sz w:val="24"/>
                <w:szCs w:val="24"/>
                <w:highlight w:val="none"/>
                <w:lang w:eastAsia="en-US"/>
              </w:rPr>
            </w:pPr>
            <w:r>
              <w:rPr>
                <w:rFonts w:hint="default" w:ascii="Times New Roman" w:hAnsi="Times New Roman" w:eastAsia="黑体" w:cs="Times New Roman"/>
                <w:b w:val="0"/>
                <w:color w:val="auto"/>
                <w:kern w:val="0"/>
                <w:sz w:val="24"/>
                <w:szCs w:val="24"/>
                <w:highlight w:val="none"/>
                <w:lang w:eastAsia="en-US"/>
              </w:rPr>
              <w:t>评审内容</w:t>
            </w:r>
          </w:p>
        </w:tc>
        <w:tc>
          <w:tcPr>
            <w:tcW w:w="7818" w:type="dxa"/>
            <w:noWrap w:val="0"/>
            <w:vAlign w:val="center"/>
          </w:tcPr>
          <w:p w14:paraId="116454E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黑体" w:cs="Times New Roman"/>
                <w:b w:val="0"/>
                <w:color w:val="auto"/>
                <w:kern w:val="0"/>
                <w:sz w:val="24"/>
                <w:szCs w:val="24"/>
                <w:highlight w:val="none"/>
                <w:lang w:eastAsia="en-US"/>
              </w:rPr>
            </w:pPr>
            <w:r>
              <w:rPr>
                <w:rFonts w:hint="default" w:ascii="Times New Roman" w:hAnsi="Times New Roman" w:eastAsia="黑体" w:cs="Times New Roman"/>
                <w:b w:val="0"/>
                <w:color w:val="auto"/>
                <w:kern w:val="0"/>
                <w:sz w:val="24"/>
                <w:szCs w:val="24"/>
                <w:highlight w:val="none"/>
                <w:lang w:eastAsia="en-US"/>
              </w:rPr>
              <w:t>评审标准和分值</w:t>
            </w:r>
          </w:p>
        </w:tc>
      </w:tr>
      <w:tr w14:paraId="33B780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80" w:hRule="atLeast"/>
          <w:jc w:val="center"/>
        </w:trPr>
        <w:tc>
          <w:tcPr>
            <w:tcW w:w="1344" w:type="dxa"/>
            <w:noWrap w:val="0"/>
            <w:vAlign w:val="center"/>
          </w:tcPr>
          <w:p w14:paraId="6014E2C8">
            <w:pPr>
              <w:keepNext w:val="0"/>
              <w:keepLines w:val="0"/>
              <w:widowControl/>
              <w:numPr>
                <w:ilvl w:val="-1"/>
                <w:numId w:val="0"/>
              </w:numPr>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基本资质和资金保障</w:t>
            </w:r>
          </w:p>
        </w:tc>
        <w:tc>
          <w:tcPr>
            <w:tcW w:w="1425" w:type="dxa"/>
            <w:noWrap w:val="0"/>
            <w:vAlign w:val="center"/>
          </w:tcPr>
          <w:p w14:paraId="3BFA38B4">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资格项</w:t>
            </w:r>
          </w:p>
        </w:tc>
        <w:tc>
          <w:tcPr>
            <w:tcW w:w="7818" w:type="dxa"/>
            <w:noWrap w:val="0"/>
            <w:vAlign w:val="center"/>
          </w:tcPr>
          <w:p w14:paraId="43C9C56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1.主体资质：</w:t>
            </w:r>
            <w:r>
              <w:rPr>
                <w:rFonts w:hint="default" w:ascii="Times New Roman" w:hAnsi="Times New Roman" w:eastAsia="仿宋_GB2312" w:cs="Times New Roman"/>
                <w:b w:val="0"/>
                <w:bCs w:val="0"/>
                <w:color w:val="auto"/>
                <w:kern w:val="0"/>
                <w:sz w:val="24"/>
                <w:szCs w:val="24"/>
                <w:highlight w:val="none"/>
                <w:lang w:val="en-US" w:eastAsia="zh-CN"/>
              </w:rPr>
              <w:t>在中华人民共和国境内依法注册并有效存续的法人组织</w:t>
            </w:r>
            <w:r>
              <w:rPr>
                <w:rFonts w:hint="default" w:ascii="Times New Roman" w:hAnsi="Times New Roman" w:eastAsia="仿宋_GB2312" w:cs="Times New Roman"/>
                <w:b w:val="0"/>
                <w:bCs w:val="0"/>
                <w:color w:val="auto"/>
                <w:kern w:val="0"/>
                <w:sz w:val="24"/>
                <w:szCs w:val="24"/>
                <w:highlight w:val="none"/>
                <w:lang w:val="en-US" w:eastAsia="zh"/>
              </w:rPr>
              <w:t>（提供申报单位</w:t>
            </w:r>
            <w:r>
              <w:rPr>
                <w:rFonts w:hint="default" w:ascii="Times New Roman" w:hAnsi="Times New Roman" w:eastAsia="仿宋_GB2312" w:cs="Times New Roman"/>
                <w:b w:val="0"/>
                <w:bCs w:val="0"/>
                <w:color w:val="auto"/>
                <w:kern w:val="0"/>
                <w:sz w:val="24"/>
                <w:szCs w:val="24"/>
                <w:highlight w:val="none"/>
                <w:lang w:val="en-US" w:eastAsia="zh-CN"/>
              </w:rPr>
              <w:t>法人营业执照副本扫描件</w:t>
            </w:r>
            <w:r>
              <w:rPr>
                <w:rFonts w:hint="default" w:ascii="Times New Roman" w:hAnsi="Times New Roman" w:eastAsia="仿宋_GB2312" w:cs="Times New Roman"/>
                <w:b w:val="0"/>
                <w:bCs w:val="0"/>
                <w:color w:val="auto"/>
                <w:kern w:val="0"/>
                <w:sz w:val="24"/>
                <w:szCs w:val="24"/>
                <w:highlight w:val="none"/>
                <w:lang w:val="en-US" w:eastAsia="zh"/>
              </w:rPr>
              <w:t>）</w:t>
            </w:r>
            <w:r>
              <w:rPr>
                <w:rFonts w:hint="default" w:ascii="Times New Roman" w:hAnsi="Times New Roman" w:eastAsia="仿宋_GB2312" w:cs="Times New Roman"/>
                <w:color w:val="auto"/>
                <w:kern w:val="0"/>
                <w:sz w:val="24"/>
                <w:szCs w:val="24"/>
                <w:highlight w:val="none"/>
                <w:lang w:val="en-US" w:eastAsia="zh-CN"/>
              </w:rPr>
              <w:t>。</w:t>
            </w:r>
          </w:p>
          <w:p w14:paraId="38AB210C">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2.</w:t>
            </w:r>
            <w:r>
              <w:rPr>
                <w:rFonts w:hint="default" w:ascii="Times New Roman" w:hAnsi="Times New Roman" w:eastAsia="仿宋_GB2312" w:cs="Times New Roman"/>
                <w:b/>
                <w:bCs/>
                <w:color w:val="auto"/>
                <w:kern w:val="0"/>
                <w:sz w:val="24"/>
                <w:szCs w:val="24"/>
                <w:highlight w:val="none"/>
                <w:lang w:val="en-US" w:eastAsia="zh"/>
              </w:rPr>
              <w:t>信誉良好</w:t>
            </w:r>
            <w:r>
              <w:rPr>
                <w:rFonts w:hint="default" w:ascii="Times New Roman" w:hAnsi="Times New Roman" w:eastAsia="仿宋_GB2312" w:cs="Times New Roman"/>
                <w:b/>
                <w:bCs/>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CN"/>
              </w:rPr>
              <w:t>在“信用中国”网站未被列入重大税收违法失信主体名单；在中国政府采购网未被列入政府采购严重违法失信行为记录名单；在国家企业信用信息公示系统未被列入严重违法失信名单（提供申报期内的查询截图）。</w:t>
            </w:r>
          </w:p>
          <w:p w14:paraId="103708F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3.安全状况：</w:t>
            </w:r>
            <w:r>
              <w:rPr>
                <w:rFonts w:hint="default" w:ascii="Times New Roman" w:hAnsi="Times New Roman" w:eastAsia="仿宋_GB2312" w:cs="Times New Roman"/>
                <w:color w:val="auto"/>
                <w:kern w:val="0"/>
                <w:sz w:val="24"/>
                <w:szCs w:val="24"/>
                <w:highlight w:val="none"/>
                <w:lang w:val="en-US" w:eastAsia="zh-CN"/>
              </w:rPr>
              <w:t>近三年未发生较大及以上网络安全或数据安全事件，且无网络安全、数据安全和个人信息保护违法记录（</w:t>
            </w:r>
            <w:r>
              <w:rPr>
                <w:rFonts w:hint="default" w:ascii="Times New Roman" w:hAnsi="Times New Roman" w:eastAsia="仿宋_GB2312" w:cs="Times New Roman"/>
                <w:color w:val="auto"/>
                <w:kern w:val="0"/>
                <w:sz w:val="24"/>
                <w:szCs w:val="24"/>
                <w:highlight w:val="none"/>
                <w:lang w:val="en-US" w:eastAsia="zh"/>
              </w:rPr>
              <w:t>提供</w:t>
            </w:r>
            <w:r>
              <w:rPr>
                <w:rFonts w:hint="default" w:ascii="Times New Roman" w:hAnsi="Times New Roman" w:eastAsia="仿宋_GB2312" w:cs="Times New Roman"/>
                <w:color w:val="auto"/>
                <w:kern w:val="0"/>
                <w:sz w:val="24"/>
                <w:szCs w:val="24"/>
                <w:highlight w:val="none"/>
                <w:lang w:val="en-US" w:eastAsia="zh-CN"/>
              </w:rPr>
              <w:t>网络和数据安全承诺书）。</w:t>
            </w:r>
          </w:p>
          <w:p w14:paraId="5C32FE3D">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
              </w:rPr>
              <w:t>4.资金保障：</w:t>
            </w:r>
            <w:r>
              <w:rPr>
                <w:rFonts w:hint="default" w:ascii="Times New Roman" w:hAnsi="Times New Roman" w:eastAsia="仿宋_GB2312" w:cs="Times New Roman"/>
                <w:color w:val="auto"/>
                <w:kern w:val="0"/>
                <w:sz w:val="24"/>
                <w:szCs w:val="24"/>
                <w:highlight w:val="none"/>
                <w:lang w:val="en-US" w:eastAsia="zh"/>
              </w:rPr>
              <w:t>能为授权期内平台建设、技术研发、安全保障及团队建设等提供必要资金保障（提供1年内的经会计师事务所或审计机构出具的合法有效的财务审计报告及财务报表，或者提供开户银行出具的有效资信证明）</w:t>
            </w:r>
            <w:r>
              <w:rPr>
                <w:rFonts w:hint="eastAsia" w:eastAsia="仿宋_GB2312" w:cs="Times New Roman"/>
                <w:color w:val="auto"/>
                <w:kern w:val="0"/>
                <w:sz w:val="24"/>
                <w:szCs w:val="24"/>
                <w:highlight w:val="none"/>
                <w:lang w:val="en-US" w:eastAsia="zh-CN"/>
              </w:rPr>
              <w:t>。</w:t>
            </w:r>
          </w:p>
          <w:p w14:paraId="50437598">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5.其他材料：</w:t>
            </w:r>
            <w:r>
              <w:rPr>
                <w:rFonts w:hint="default" w:ascii="Times New Roman" w:hAnsi="Times New Roman" w:eastAsia="仿宋_GB2312" w:cs="Times New Roman"/>
                <w:color w:val="auto"/>
                <w:kern w:val="0"/>
                <w:sz w:val="24"/>
                <w:szCs w:val="24"/>
                <w:highlight w:val="none"/>
                <w:lang w:val="en-US" w:eastAsia="zh"/>
              </w:rPr>
              <w:t>法定代表人（单位负责人）身份证明或法定代表人（单位负责人）授权委托书原件及双方身份证复印件。</w:t>
            </w:r>
          </w:p>
          <w:p w14:paraId="3BB79F5F">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注：以上</w:t>
            </w:r>
            <w:r>
              <w:rPr>
                <w:rFonts w:hint="default" w:ascii="Times New Roman" w:hAnsi="Times New Roman" w:eastAsia="仿宋_GB2312" w:cs="Times New Roman"/>
                <w:b/>
                <w:bCs/>
                <w:color w:val="auto"/>
                <w:kern w:val="0"/>
                <w:sz w:val="24"/>
                <w:szCs w:val="24"/>
                <w:highlight w:val="none"/>
                <w:lang w:val="en-US" w:eastAsia="zh"/>
              </w:rPr>
              <w:t>材料均需</w:t>
            </w:r>
            <w:r>
              <w:rPr>
                <w:rFonts w:hint="default" w:ascii="Times New Roman" w:hAnsi="Times New Roman" w:eastAsia="仿宋_GB2312" w:cs="Times New Roman"/>
                <w:b/>
                <w:bCs/>
                <w:color w:val="auto"/>
                <w:kern w:val="0"/>
                <w:sz w:val="24"/>
                <w:szCs w:val="24"/>
                <w:highlight w:val="none"/>
                <w:lang w:val="en-US" w:eastAsia="zh-CN"/>
              </w:rPr>
              <w:t>加盖公章</w:t>
            </w:r>
            <w:r>
              <w:rPr>
                <w:rFonts w:hint="eastAsia" w:eastAsia="仿宋_GB2312" w:cs="Times New Roman"/>
                <w:b/>
                <w:bCs/>
                <w:color w:val="auto"/>
                <w:kern w:val="0"/>
                <w:sz w:val="24"/>
                <w:szCs w:val="24"/>
                <w:highlight w:val="none"/>
                <w:lang w:val="en-US" w:eastAsia="zh-CN"/>
              </w:rPr>
              <w:t>，</w:t>
            </w:r>
            <w:r>
              <w:rPr>
                <w:rFonts w:hint="default" w:ascii="Times New Roman" w:hAnsi="Times New Roman" w:eastAsia="仿宋_GB2312" w:cs="Times New Roman"/>
                <w:b/>
                <w:bCs/>
                <w:color w:val="auto"/>
                <w:kern w:val="0"/>
                <w:sz w:val="24"/>
                <w:szCs w:val="24"/>
                <w:highlight w:val="none"/>
                <w:lang w:val="en-US" w:eastAsia="zh"/>
              </w:rPr>
              <w:t>缺项则淘汰</w:t>
            </w:r>
            <w:r>
              <w:rPr>
                <w:rFonts w:hint="default" w:ascii="Times New Roman" w:hAnsi="Times New Roman" w:eastAsia="仿宋_GB2312" w:cs="Times New Roman"/>
                <w:b/>
                <w:bCs/>
                <w:color w:val="auto"/>
                <w:kern w:val="0"/>
                <w:sz w:val="24"/>
                <w:szCs w:val="24"/>
                <w:highlight w:val="none"/>
                <w:lang w:val="en-US" w:eastAsia="zh-CN"/>
              </w:rPr>
              <w:t>。</w:t>
            </w:r>
          </w:p>
        </w:tc>
      </w:tr>
      <w:tr w14:paraId="2E2953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1344" w:type="dxa"/>
            <w:vMerge w:val="restart"/>
            <w:noWrap w:val="0"/>
            <w:vAlign w:val="center"/>
          </w:tcPr>
          <w:p w14:paraId="094B5FF6">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管理体系</w:t>
            </w:r>
          </w:p>
          <w:p w14:paraId="713D1DE2">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（15分）</w:t>
            </w:r>
          </w:p>
        </w:tc>
        <w:tc>
          <w:tcPr>
            <w:tcW w:w="1425" w:type="dxa"/>
            <w:shd w:val="clear" w:color="auto" w:fill="auto"/>
            <w:noWrap w:val="0"/>
            <w:vAlign w:val="center"/>
          </w:tcPr>
          <w:p w14:paraId="62E6EFE0">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组织架构</w:t>
            </w:r>
          </w:p>
          <w:p w14:paraId="6945C58B">
            <w:pPr>
              <w:keepNext w:val="0"/>
              <w:keepLines w:val="0"/>
              <w:widowControl/>
              <w:suppressLineNumbers w:val="0"/>
              <w:snapToGrid/>
              <w:spacing w:before="0" w:beforeAutospacing="0" w:after="0" w:afterLines="0" w:afterAutospacing="0" w:line="320" w:lineRule="exact"/>
              <w:ind w:left="0" w:leftChars="0" w:right="0" w:rightChars="0" w:firstLine="0" w:firstLineChars="0"/>
              <w:jc w:val="center"/>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rPr>
              <w:t>（</w:t>
            </w:r>
            <w:r>
              <w:rPr>
                <w:rFonts w:hint="default" w:ascii="Times New Roman" w:hAnsi="Times New Roman" w:eastAsia="仿宋_GB2312" w:cs="Times New Roman"/>
                <w:b/>
                <w:bCs/>
                <w:color w:val="auto"/>
                <w:kern w:val="0"/>
                <w:sz w:val="24"/>
                <w:szCs w:val="24"/>
                <w:highlight w:val="none"/>
                <w:lang w:val="en-US" w:eastAsia="zh-CN"/>
              </w:rPr>
              <w:t>5</w:t>
            </w:r>
            <w:r>
              <w:rPr>
                <w:rFonts w:hint="default" w:ascii="Times New Roman" w:hAnsi="Times New Roman" w:eastAsia="仿宋_GB2312" w:cs="Times New Roman"/>
                <w:b/>
                <w:bCs/>
                <w:color w:val="auto"/>
                <w:kern w:val="0"/>
                <w:sz w:val="24"/>
                <w:szCs w:val="24"/>
                <w:highlight w:val="none"/>
              </w:rPr>
              <w:t>分）</w:t>
            </w:r>
          </w:p>
        </w:tc>
        <w:tc>
          <w:tcPr>
            <w:tcW w:w="7818" w:type="dxa"/>
            <w:shd w:val="clear" w:color="auto" w:fill="auto"/>
            <w:noWrap w:val="0"/>
            <w:vAlign w:val="center"/>
          </w:tcPr>
          <w:p w14:paraId="0E965322">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对申报单位组织架构设置与数据开发利用工作的相关性进行评审：</w:t>
            </w:r>
          </w:p>
          <w:p w14:paraId="7171BE39">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eastAsia="zh"/>
              </w:rPr>
              <w:t>.</w:t>
            </w:r>
            <w:r>
              <w:rPr>
                <w:rFonts w:hint="default" w:ascii="Times New Roman" w:hAnsi="Times New Roman" w:eastAsia="仿宋_GB2312" w:cs="Times New Roman"/>
                <w:color w:val="auto"/>
                <w:kern w:val="0"/>
                <w:sz w:val="24"/>
                <w:szCs w:val="24"/>
                <w:highlight w:val="none"/>
              </w:rPr>
              <w:t>涵盖数据开发、数据安全、数据产品、运营服务、</w:t>
            </w:r>
            <w:r>
              <w:rPr>
                <w:rFonts w:hint="eastAsia" w:eastAsia="仿宋_GB2312" w:cs="Times New Roman"/>
                <w:color w:val="auto"/>
                <w:kern w:val="0"/>
                <w:sz w:val="24"/>
                <w:szCs w:val="24"/>
                <w:highlight w:val="none"/>
                <w:lang w:val="en-US" w:eastAsia="zh-CN"/>
              </w:rPr>
              <w:t>技术</w:t>
            </w:r>
            <w:r>
              <w:rPr>
                <w:rFonts w:hint="default" w:ascii="Times New Roman" w:hAnsi="Times New Roman" w:eastAsia="仿宋_GB2312" w:cs="Times New Roman"/>
                <w:color w:val="auto"/>
                <w:kern w:val="0"/>
                <w:sz w:val="24"/>
                <w:szCs w:val="24"/>
                <w:highlight w:val="none"/>
              </w:rPr>
              <w:t>研发等相关部门，部门设置完善合理</w:t>
            </w:r>
            <w:r>
              <w:rPr>
                <w:rFonts w:hint="eastAsia" w:eastAsia="仿宋_GB2312" w:cs="Times New Roman"/>
                <w:color w:val="auto"/>
                <w:kern w:val="0"/>
                <w:sz w:val="24"/>
                <w:szCs w:val="24"/>
                <w:highlight w:val="none"/>
                <w:lang w:eastAsia="zh-CN"/>
              </w:rPr>
              <w:t>，有</w:t>
            </w:r>
            <w:r>
              <w:rPr>
                <w:rFonts w:hint="default" w:ascii="Times New Roman" w:hAnsi="Times New Roman" w:eastAsia="仿宋_GB2312" w:cs="Times New Roman"/>
                <w:color w:val="auto"/>
                <w:kern w:val="0"/>
                <w:sz w:val="24"/>
                <w:szCs w:val="24"/>
                <w:highlight w:val="none"/>
              </w:rPr>
              <w:t>利于推进数据授权运营与开发利用工作的，得5分；</w:t>
            </w:r>
          </w:p>
          <w:p w14:paraId="10C578E0">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r>
              <w:rPr>
                <w:rFonts w:hint="default" w:ascii="Times New Roman" w:hAnsi="Times New Roman" w:eastAsia="仿宋_GB2312" w:cs="Times New Roman"/>
                <w:color w:val="auto"/>
                <w:kern w:val="0"/>
                <w:sz w:val="24"/>
                <w:szCs w:val="24"/>
                <w:highlight w:val="none"/>
                <w:lang w:eastAsia="zh"/>
              </w:rPr>
              <w:t>.</w:t>
            </w:r>
            <w:r>
              <w:rPr>
                <w:rFonts w:hint="default" w:ascii="Times New Roman" w:hAnsi="Times New Roman" w:eastAsia="仿宋_GB2312" w:cs="Times New Roman"/>
                <w:color w:val="auto"/>
                <w:kern w:val="0"/>
                <w:sz w:val="24"/>
                <w:szCs w:val="24"/>
                <w:highlight w:val="none"/>
              </w:rPr>
              <w:t>部门设置与数据开发利用工作相关性一般，不合理不完善的，得1-4分；</w:t>
            </w:r>
          </w:p>
          <w:p w14:paraId="67EDE6F2">
            <w:pPr>
              <w:keepNext w:val="0"/>
              <w:keepLines w:val="0"/>
              <w:widowControl/>
              <w:suppressLineNumbers w:val="0"/>
              <w:snapToGrid/>
              <w:spacing w:before="0" w:beforeAutospacing="0" w:after="0" w:afterLines="0" w:afterAutospacing="0" w:line="320" w:lineRule="exact"/>
              <w:ind w:left="0" w:leftChars="0" w:right="0" w:rightChars="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3</w:t>
            </w:r>
            <w:r>
              <w:rPr>
                <w:rFonts w:hint="default" w:ascii="Times New Roman" w:hAnsi="Times New Roman" w:eastAsia="仿宋_GB2312" w:cs="Times New Roman"/>
                <w:color w:val="auto"/>
                <w:kern w:val="0"/>
                <w:sz w:val="24"/>
                <w:szCs w:val="24"/>
                <w:highlight w:val="none"/>
                <w:lang w:eastAsia="zh"/>
              </w:rPr>
              <w:t>.</w:t>
            </w:r>
            <w:r>
              <w:rPr>
                <w:rFonts w:hint="default" w:ascii="Times New Roman" w:hAnsi="Times New Roman" w:eastAsia="仿宋_GB2312" w:cs="Times New Roman"/>
                <w:color w:val="auto"/>
                <w:kern w:val="0"/>
                <w:sz w:val="24"/>
                <w:szCs w:val="24"/>
                <w:highlight w:val="none"/>
              </w:rPr>
              <w:t>其他情况或不提供的</w:t>
            </w:r>
            <w:r>
              <w:rPr>
                <w:rFonts w:hint="eastAsia"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不得分。</w:t>
            </w:r>
          </w:p>
        </w:tc>
      </w:tr>
      <w:tr w14:paraId="6060C6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40" w:hRule="atLeast"/>
          <w:jc w:val="center"/>
        </w:trPr>
        <w:tc>
          <w:tcPr>
            <w:tcW w:w="1344" w:type="dxa"/>
            <w:vMerge w:val="continue"/>
            <w:noWrap w:val="0"/>
            <w:vAlign w:val="center"/>
          </w:tcPr>
          <w:p w14:paraId="21FB4CE9">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p>
        </w:tc>
        <w:tc>
          <w:tcPr>
            <w:tcW w:w="1425" w:type="dxa"/>
            <w:shd w:val="clear" w:color="auto" w:fill="auto"/>
            <w:noWrap w:val="0"/>
            <w:vAlign w:val="center"/>
          </w:tcPr>
          <w:p w14:paraId="60BF791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企业资质</w:t>
            </w:r>
          </w:p>
          <w:p w14:paraId="787DA83A">
            <w:pPr>
              <w:keepNext w:val="0"/>
              <w:keepLines w:val="0"/>
              <w:widowControl/>
              <w:suppressLineNumbers w:val="0"/>
              <w:snapToGrid/>
              <w:spacing w:before="0" w:beforeAutospacing="0" w:after="0" w:afterLines="0" w:afterAutospacing="0" w:line="320" w:lineRule="exact"/>
              <w:ind w:left="0" w:leftChars="0" w:right="0" w:rightChars="0" w:firstLine="0" w:firstLineChars="0"/>
              <w:jc w:val="center"/>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CN"/>
              </w:rPr>
              <w:t>（</w:t>
            </w:r>
            <w:r>
              <w:rPr>
                <w:rFonts w:hint="default" w:ascii="Times New Roman" w:hAnsi="Times New Roman" w:eastAsia="仿宋_GB2312" w:cs="Times New Roman"/>
                <w:b/>
                <w:bCs/>
                <w:color w:val="auto"/>
                <w:kern w:val="0"/>
                <w:sz w:val="24"/>
                <w:szCs w:val="24"/>
                <w:highlight w:val="none"/>
                <w:lang w:val="en-US" w:eastAsia="zh"/>
              </w:rPr>
              <w:t>5</w:t>
            </w:r>
            <w:r>
              <w:rPr>
                <w:rFonts w:hint="default" w:ascii="Times New Roman" w:hAnsi="Times New Roman" w:eastAsia="仿宋_GB2312" w:cs="Times New Roman"/>
                <w:b/>
                <w:bCs/>
                <w:color w:val="auto"/>
                <w:kern w:val="0"/>
                <w:sz w:val="24"/>
                <w:szCs w:val="24"/>
                <w:highlight w:val="none"/>
                <w:lang w:val="en-US" w:eastAsia="zh-CN"/>
              </w:rPr>
              <w:t>分）</w:t>
            </w:r>
          </w:p>
        </w:tc>
        <w:tc>
          <w:tcPr>
            <w:tcW w:w="7818" w:type="dxa"/>
            <w:shd w:val="clear" w:color="auto" w:fill="auto"/>
            <w:noWrap w:val="0"/>
            <w:vAlign w:val="center"/>
          </w:tcPr>
          <w:p w14:paraId="0FF2333D">
            <w:pPr>
              <w:keepNext w:val="0"/>
              <w:keepLines w:val="0"/>
              <w:widowControl/>
              <w:suppressLineNumbers w:val="0"/>
              <w:snapToGrid/>
              <w:spacing w:before="0" w:beforeAutospacing="0" w:after="0" w:afterLines="0" w:afterAutospacing="0" w:line="320" w:lineRule="exact"/>
              <w:ind w:left="0" w:leftChars="0" w:right="0" w:rightChars="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申报单位具备质量管理体系认证、信息安全管理体系认证、信息技术服务管理体系认证、云服务信息安全管理体系认证、数据安全能力成熟度等级证书三级及以上的，全部满足得</w:t>
            </w:r>
            <w:r>
              <w:rPr>
                <w:rFonts w:hint="default" w:ascii="Times New Roman" w:hAnsi="Times New Roman" w:eastAsia="仿宋_GB2312" w:cs="Times New Roman"/>
                <w:color w:val="auto"/>
                <w:kern w:val="0"/>
                <w:sz w:val="24"/>
                <w:szCs w:val="24"/>
                <w:highlight w:val="none"/>
                <w:lang w:eastAsia="zh"/>
              </w:rPr>
              <w:t>5</w:t>
            </w:r>
            <w:r>
              <w:rPr>
                <w:rFonts w:hint="default" w:ascii="Times New Roman" w:hAnsi="Times New Roman" w:eastAsia="仿宋_GB2312" w:cs="Times New Roman"/>
                <w:color w:val="auto"/>
                <w:kern w:val="0"/>
                <w:sz w:val="24"/>
                <w:szCs w:val="24"/>
                <w:highlight w:val="none"/>
                <w:lang w:eastAsia="zh-CN"/>
              </w:rPr>
              <w:t>分，每缺少一项扣</w:t>
            </w:r>
            <w:r>
              <w:rPr>
                <w:rFonts w:hint="default" w:ascii="Times New Roman" w:hAnsi="Times New Roman" w:eastAsia="仿宋_GB2312" w:cs="Times New Roman"/>
                <w:color w:val="auto"/>
                <w:kern w:val="0"/>
                <w:sz w:val="24"/>
                <w:szCs w:val="24"/>
                <w:highlight w:val="none"/>
                <w:lang w:eastAsia="zh"/>
              </w:rPr>
              <w:t>1</w:t>
            </w:r>
            <w:r>
              <w:rPr>
                <w:rFonts w:hint="default" w:ascii="Times New Roman" w:hAnsi="Times New Roman" w:eastAsia="仿宋_GB2312" w:cs="Times New Roman"/>
                <w:color w:val="auto"/>
                <w:kern w:val="0"/>
                <w:sz w:val="24"/>
                <w:szCs w:val="24"/>
                <w:highlight w:val="none"/>
                <w:lang w:eastAsia="zh-CN"/>
              </w:rPr>
              <w:t>分，扣完为止。</w:t>
            </w:r>
          </w:p>
        </w:tc>
      </w:tr>
      <w:tr w14:paraId="2C0D40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27" w:hRule="atLeast"/>
          <w:jc w:val="center"/>
        </w:trPr>
        <w:tc>
          <w:tcPr>
            <w:tcW w:w="1344" w:type="dxa"/>
            <w:vMerge w:val="continue"/>
            <w:noWrap w:val="0"/>
            <w:vAlign w:val="center"/>
          </w:tcPr>
          <w:p w14:paraId="71770558">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p>
        </w:tc>
        <w:tc>
          <w:tcPr>
            <w:tcW w:w="1425" w:type="dxa"/>
            <w:shd w:val="clear" w:color="auto" w:fill="auto"/>
            <w:noWrap w:val="0"/>
            <w:vAlign w:val="center"/>
          </w:tcPr>
          <w:p w14:paraId="64100EC7">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主营业务</w:t>
            </w:r>
          </w:p>
          <w:p w14:paraId="2DA719AD">
            <w:pPr>
              <w:keepNext w:val="0"/>
              <w:keepLines w:val="0"/>
              <w:widowControl/>
              <w:suppressLineNumbers w:val="0"/>
              <w:snapToGrid/>
              <w:spacing w:before="0" w:beforeAutospacing="0" w:after="0" w:afterLines="0" w:afterAutospacing="0" w:line="320" w:lineRule="exact"/>
              <w:ind w:left="0" w:leftChars="0" w:right="0" w:rightChars="0" w:firstLine="0" w:firstLineChars="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rPr>
              <w:t>（</w:t>
            </w:r>
            <w:r>
              <w:rPr>
                <w:rFonts w:hint="default" w:ascii="Times New Roman" w:hAnsi="Times New Roman" w:eastAsia="仿宋_GB2312" w:cs="Times New Roman"/>
                <w:b/>
                <w:bCs/>
                <w:color w:val="auto"/>
                <w:kern w:val="0"/>
                <w:sz w:val="24"/>
                <w:szCs w:val="24"/>
                <w:highlight w:val="none"/>
                <w:lang w:val="en-US" w:eastAsia="zh-CN"/>
              </w:rPr>
              <w:t>5</w:t>
            </w:r>
            <w:r>
              <w:rPr>
                <w:rFonts w:hint="default" w:ascii="Times New Roman" w:hAnsi="Times New Roman" w:eastAsia="仿宋_GB2312" w:cs="Times New Roman"/>
                <w:b/>
                <w:bCs/>
                <w:color w:val="auto"/>
                <w:kern w:val="0"/>
                <w:sz w:val="24"/>
                <w:szCs w:val="24"/>
                <w:highlight w:val="none"/>
              </w:rPr>
              <w:t>分）</w:t>
            </w:r>
          </w:p>
        </w:tc>
        <w:tc>
          <w:tcPr>
            <w:tcW w:w="7818" w:type="dxa"/>
            <w:shd w:val="clear" w:color="auto" w:fill="auto"/>
            <w:noWrap w:val="0"/>
            <w:vAlign w:val="center"/>
          </w:tcPr>
          <w:p w14:paraId="1BBD9FF5">
            <w:pPr>
              <w:keepNext w:val="0"/>
              <w:keepLines w:val="0"/>
              <w:widowControl/>
              <w:suppressLineNumbers w:val="0"/>
              <w:snapToGrid/>
              <w:spacing w:before="0" w:beforeAutospacing="0" w:after="0" w:afterLines="0" w:afterAutospacing="0" w:line="320" w:lineRule="exact"/>
              <w:ind w:left="0" w:leftChars="0" w:right="0" w:rightChars="0" w:firstLine="0" w:firstLineChars="0"/>
              <w:jc w:val="both"/>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
              </w:rPr>
              <w:t>申报单位</w:t>
            </w:r>
            <w:r>
              <w:rPr>
                <w:rFonts w:hint="default" w:ascii="Times New Roman" w:hAnsi="Times New Roman" w:eastAsia="仿宋_GB2312" w:cs="Times New Roman"/>
                <w:color w:val="auto"/>
                <w:kern w:val="0"/>
                <w:sz w:val="24"/>
                <w:szCs w:val="24"/>
                <w:highlight w:val="none"/>
                <w:lang w:val="en-US" w:eastAsia="zh-CN"/>
              </w:rPr>
              <w:t>主营业务涵盖数据汇聚治理、数据产品和服务开发、应用场景建设、数据流通交易、数据基础设施建设等数据开发利用全流程</w:t>
            </w:r>
            <w:r>
              <w:rPr>
                <w:rFonts w:hint="default" w:ascii="Times New Roman" w:hAnsi="Times New Roman" w:eastAsia="仿宋_GB2312" w:cs="Times New Roman"/>
                <w:color w:val="auto"/>
                <w:kern w:val="0"/>
                <w:sz w:val="24"/>
                <w:szCs w:val="24"/>
                <w:highlight w:val="none"/>
                <w:lang w:val="en-US" w:eastAsia="zh"/>
              </w:rPr>
              <w:t>。</w:t>
            </w:r>
            <w:r>
              <w:rPr>
                <w:rFonts w:hint="default" w:ascii="Times New Roman" w:hAnsi="Times New Roman" w:eastAsia="仿宋_GB2312" w:cs="Times New Roman"/>
                <w:color w:val="auto"/>
                <w:kern w:val="0"/>
                <w:sz w:val="24"/>
                <w:szCs w:val="24"/>
                <w:highlight w:val="none"/>
                <w:lang w:val="en-US" w:eastAsia="zh-CN"/>
              </w:rPr>
              <w:t>熟悉国家和省内公共数据资源开发利用政策体系的，得</w:t>
            </w:r>
            <w:r>
              <w:rPr>
                <w:rFonts w:hint="default" w:ascii="Times New Roman" w:hAnsi="Times New Roman" w:eastAsia="仿宋_GB2312" w:cs="Times New Roman"/>
                <w:color w:val="auto"/>
                <w:kern w:val="0"/>
                <w:sz w:val="24"/>
                <w:szCs w:val="24"/>
                <w:highlight w:val="none"/>
                <w:lang w:val="en-US" w:eastAsia="zh"/>
              </w:rPr>
              <w:t>5</w:t>
            </w:r>
            <w:r>
              <w:rPr>
                <w:rFonts w:hint="default" w:ascii="Times New Roman" w:hAnsi="Times New Roman" w:eastAsia="仿宋_GB2312" w:cs="Times New Roman"/>
                <w:color w:val="auto"/>
                <w:kern w:val="0"/>
                <w:sz w:val="24"/>
                <w:szCs w:val="24"/>
                <w:highlight w:val="none"/>
                <w:lang w:val="en-US" w:eastAsia="zh-CN"/>
              </w:rPr>
              <w:t>分；</w:t>
            </w:r>
            <w:r>
              <w:rPr>
                <w:rFonts w:hint="default" w:ascii="Times New Roman" w:hAnsi="Times New Roman" w:eastAsia="仿宋_GB2312" w:cs="Times New Roman"/>
                <w:color w:val="auto"/>
                <w:kern w:val="0"/>
                <w:sz w:val="24"/>
                <w:szCs w:val="24"/>
                <w:highlight w:val="none"/>
                <w:lang w:val="en-US" w:eastAsia="zh"/>
              </w:rPr>
              <w:t>申报单位</w:t>
            </w:r>
            <w:r>
              <w:rPr>
                <w:rFonts w:hint="default" w:ascii="Times New Roman" w:hAnsi="Times New Roman" w:eastAsia="仿宋_GB2312" w:cs="Times New Roman"/>
                <w:color w:val="auto"/>
                <w:kern w:val="0"/>
                <w:sz w:val="24"/>
                <w:szCs w:val="24"/>
                <w:highlight w:val="none"/>
                <w:lang w:val="en-US" w:eastAsia="zh-CN"/>
              </w:rPr>
              <w:t>主营业务仅涵盖数据开发利用部分流程，对国家和省内公共数据资源开发利用政策体系熟悉度一般的，得</w:t>
            </w:r>
            <w:r>
              <w:rPr>
                <w:rFonts w:hint="default" w:ascii="Times New Roman" w:hAnsi="Times New Roman" w:eastAsia="仿宋_GB2312" w:cs="Times New Roman"/>
                <w:color w:val="auto"/>
                <w:kern w:val="0"/>
                <w:sz w:val="24"/>
                <w:szCs w:val="24"/>
                <w:highlight w:val="none"/>
                <w:lang w:val="en-US" w:eastAsia="zh"/>
              </w:rPr>
              <w:t>3</w:t>
            </w:r>
            <w:r>
              <w:rPr>
                <w:rFonts w:hint="default" w:ascii="Times New Roman" w:hAnsi="Times New Roman" w:eastAsia="仿宋_GB2312" w:cs="Times New Roman"/>
                <w:color w:val="auto"/>
                <w:kern w:val="0"/>
                <w:sz w:val="24"/>
                <w:szCs w:val="24"/>
                <w:highlight w:val="none"/>
                <w:lang w:val="en-US" w:eastAsia="zh-CN"/>
              </w:rPr>
              <w:t>分；</w:t>
            </w:r>
            <w:r>
              <w:rPr>
                <w:rFonts w:hint="default" w:ascii="Times New Roman" w:hAnsi="Times New Roman" w:eastAsia="仿宋_GB2312" w:cs="Times New Roman"/>
                <w:color w:val="auto"/>
                <w:kern w:val="0"/>
                <w:sz w:val="24"/>
                <w:highlight w:val="none"/>
                <w:lang w:val="en-US" w:eastAsia="zh-CN"/>
              </w:rPr>
              <w:t>未提供</w:t>
            </w:r>
            <w:r>
              <w:rPr>
                <w:rFonts w:hint="eastAsia" w:eastAsia="仿宋_GB2312" w:cs="Times New Roman"/>
                <w:color w:val="auto"/>
                <w:kern w:val="0"/>
                <w:sz w:val="24"/>
                <w:highlight w:val="none"/>
                <w:lang w:val="en-US" w:eastAsia="zh-CN"/>
              </w:rPr>
              <w:t>的，</w:t>
            </w:r>
            <w:r>
              <w:rPr>
                <w:rFonts w:hint="default" w:ascii="Times New Roman" w:hAnsi="Times New Roman" w:eastAsia="仿宋_GB2312" w:cs="Times New Roman"/>
                <w:color w:val="auto"/>
                <w:kern w:val="0"/>
                <w:sz w:val="24"/>
                <w:highlight w:val="none"/>
                <w:lang w:val="en-US" w:eastAsia="zh-CN"/>
              </w:rPr>
              <w:t>不得分</w:t>
            </w:r>
            <w:r>
              <w:rPr>
                <w:rFonts w:hint="default" w:ascii="Times New Roman" w:hAnsi="Times New Roman" w:eastAsia="仿宋_GB2312" w:cs="Times New Roman"/>
                <w:color w:val="auto"/>
                <w:kern w:val="0"/>
                <w:sz w:val="24"/>
                <w:szCs w:val="24"/>
                <w:highlight w:val="none"/>
                <w:lang w:val="en-US" w:eastAsia="zh-CN"/>
              </w:rPr>
              <w:t>。</w:t>
            </w:r>
          </w:p>
        </w:tc>
      </w:tr>
      <w:tr w14:paraId="1A47C8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40" w:hRule="atLeast"/>
          <w:jc w:val="center"/>
        </w:trPr>
        <w:tc>
          <w:tcPr>
            <w:tcW w:w="1344" w:type="dxa"/>
            <w:vMerge w:val="restart"/>
            <w:noWrap w:val="0"/>
            <w:vAlign w:val="center"/>
          </w:tcPr>
          <w:p w14:paraId="1EA09C13">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技术能力</w:t>
            </w:r>
          </w:p>
          <w:p w14:paraId="76DE7342">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（30分）</w:t>
            </w:r>
          </w:p>
        </w:tc>
        <w:tc>
          <w:tcPr>
            <w:tcW w:w="1425" w:type="dxa"/>
            <w:shd w:val="clear" w:color="auto" w:fill="auto"/>
            <w:noWrap w:val="0"/>
            <w:vAlign w:val="center"/>
          </w:tcPr>
          <w:p w14:paraId="59489A66">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数据基础设施</w:t>
            </w:r>
            <w:r>
              <w:rPr>
                <w:rFonts w:hint="eastAsia" w:eastAsia="仿宋_GB2312" w:cs="Times New Roman"/>
                <w:b/>
                <w:bCs/>
                <w:color w:val="auto"/>
                <w:kern w:val="0"/>
                <w:sz w:val="24"/>
                <w:szCs w:val="24"/>
                <w:highlight w:val="none"/>
                <w:lang w:val="en-US" w:eastAsia="zh-CN"/>
              </w:rPr>
              <w:t>应用</w:t>
            </w:r>
          </w:p>
          <w:p w14:paraId="372DCAF8">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val="0"/>
                <w:bCs w:val="0"/>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（15分）</w:t>
            </w:r>
          </w:p>
        </w:tc>
        <w:tc>
          <w:tcPr>
            <w:tcW w:w="7818" w:type="dxa"/>
            <w:shd w:val="clear" w:color="auto" w:fill="auto"/>
            <w:noWrap w:val="0"/>
            <w:vAlign w:val="center"/>
          </w:tcPr>
          <w:p w14:paraId="6AC4E5E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eastAsia" w:eastAsia="仿宋_GB2312" w:cs="Times New Roman"/>
                <w:color w:val="auto"/>
                <w:kern w:val="0"/>
                <w:sz w:val="24"/>
                <w:highlight w:val="none"/>
                <w:lang w:val="en-US" w:eastAsia="zh-CN"/>
              </w:rPr>
              <w:t>根据</w:t>
            </w:r>
            <w:r>
              <w:rPr>
                <w:rFonts w:hint="default" w:ascii="Times New Roman" w:hAnsi="Times New Roman" w:eastAsia="仿宋_GB2312" w:cs="Times New Roman"/>
                <w:color w:val="auto"/>
                <w:kern w:val="0"/>
                <w:sz w:val="24"/>
                <w:highlight w:val="none"/>
                <w:lang w:val="en-US" w:eastAsia="zh-CN"/>
              </w:rPr>
              <w:t>申报单位依托公共数据流通利用基础设施进行数据治理、数据开发等全流程能力</w:t>
            </w:r>
            <w:r>
              <w:rPr>
                <w:rFonts w:hint="eastAsia" w:eastAsia="仿宋_GB2312" w:cs="Times New Roman"/>
                <w:color w:val="auto"/>
                <w:kern w:val="0"/>
                <w:sz w:val="24"/>
                <w:highlight w:val="none"/>
                <w:lang w:val="en-US" w:eastAsia="zh-CN"/>
              </w:rPr>
              <w:t>进行评审</w:t>
            </w:r>
            <w:r>
              <w:rPr>
                <w:rFonts w:hint="default" w:ascii="Times New Roman" w:hAnsi="Times New Roman" w:eastAsia="仿宋_GB2312" w:cs="Times New Roman"/>
                <w:color w:val="auto"/>
                <w:kern w:val="0"/>
                <w:sz w:val="24"/>
                <w:highlight w:val="none"/>
                <w:lang w:val="en-US" w:eastAsia="zh-CN"/>
              </w:rPr>
              <w:t>：</w:t>
            </w:r>
          </w:p>
          <w:p w14:paraId="49654B9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
              </w:rPr>
              <w:t>1.能够深度融合公共数据流通利用基础设施，实现数据治理、开发全流程</w:t>
            </w:r>
            <w:r>
              <w:rPr>
                <w:rFonts w:hint="eastAsia" w:eastAsia="仿宋_GB2312" w:cs="Times New Roman"/>
                <w:color w:val="auto"/>
                <w:kern w:val="0"/>
                <w:sz w:val="24"/>
                <w:highlight w:val="none"/>
                <w:lang w:val="en-US" w:eastAsia="zh-CN"/>
              </w:rPr>
              <w:t>应用</w:t>
            </w:r>
            <w:r>
              <w:rPr>
                <w:rFonts w:hint="default" w:ascii="Times New Roman" w:hAnsi="Times New Roman" w:eastAsia="仿宋_GB2312" w:cs="Times New Roman"/>
                <w:color w:val="auto"/>
                <w:kern w:val="0"/>
                <w:sz w:val="24"/>
                <w:highlight w:val="none"/>
                <w:lang w:val="en-US" w:eastAsia="zh-CN"/>
              </w:rPr>
              <w:t>的，得</w:t>
            </w:r>
            <w:r>
              <w:rPr>
                <w:rFonts w:hint="default" w:ascii="Times New Roman" w:hAnsi="Times New Roman" w:eastAsia="仿宋_GB2312" w:cs="Times New Roman"/>
                <w:color w:val="auto"/>
                <w:kern w:val="0"/>
                <w:sz w:val="24"/>
                <w:highlight w:val="none"/>
                <w:lang w:val="en-US" w:eastAsia="zh"/>
              </w:rPr>
              <w:t>11</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
              </w:rPr>
              <w:t>15</w:t>
            </w:r>
            <w:r>
              <w:rPr>
                <w:rFonts w:hint="default" w:ascii="Times New Roman" w:hAnsi="Times New Roman" w:eastAsia="仿宋_GB2312" w:cs="Times New Roman"/>
                <w:color w:val="auto"/>
                <w:kern w:val="0"/>
                <w:sz w:val="24"/>
                <w:highlight w:val="none"/>
                <w:lang w:val="en-US" w:eastAsia="zh-CN"/>
              </w:rPr>
              <w:t>分；</w:t>
            </w:r>
          </w:p>
          <w:p w14:paraId="024E4F07">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
              </w:rPr>
              <w:t>2.</w:t>
            </w:r>
            <w:r>
              <w:rPr>
                <w:rFonts w:hint="default" w:ascii="Times New Roman" w:hAnsi="Times New Roman" w:eastAsia="仿宋_GB2312" w:cs="Times New Roman"/>
                <w:color w:val="auto"/>
                <w:kern w:val="0"/>
                <w:sz w:val="24"/>
                <w:highlight w:val="none"/>
                <w:lang w:val="en-US" w:eastAsia="zh-CN"/>
              </w:rPr>
              <w:t>能够有效依托公共数据流通利用基础设施开展数据治理与开发工作，流程基本贯通的，得</w:t>
            </w:r>
            <w:r>
              <w:rPr>
                <w:rFonts w:hint="default" w:ascii="Times New Roman" w:hAnsi="Times New Roman" w:eastAsia="仿宋_GB2312" w:cs="Times New Roman"/>
                <w:color w:val="auto"/>
                <w:kern w:val="0"/>
                <w:sz w:val="24"/>
                <w:highlight w:val="none"/>
                <w:lang w:val="en-US" w:eastAsia="zh"/>
              </w:rPr>
              <w:t>6</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
              </w:rPr>
              <w:t>10</w:t>
            </w:r>
            <w:r>
              <w:rPr>
                <w:rFonts w:hint="default" w:ascii="Times New Roman" w:hAnsi="Times New Roman" w:eastAsia="仿宋_GB2312" w:cs="Times New Roman"/>
                <w:color w:val="auto"/>
                <w:kern w:val="0"/>
                <w:sz w:val="24"/>
                <w:highlight w:val="none"/>
                <w:lang w:val="en-US" w:eastAsia="zh-CN"/>
              </w:rPr>
              <w:t>分；</w:t>
            </w:r>
          </w:p>
          <w:p w14:paraId="2B76E7A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
              </w:rPr>
              <w:t>3.</w:t>
            </w:r>
            <w:r>
              <w:rPr>
                <w:rFonts w:hint="default" w:ascii="Times New Roman" w:hAnsi="Times New Roman" w:eastAsia="仿宋_GB2312" w:cs="Times New Roman"/>
                <w:color w:val="auto"/>
                <w:kern w:val="0"/>
                <w:sz w:val="24"/>
                <w:highlight w:val="none"/>
                <w:lang w:val="en-US" w:eastAsia="zh-CN"/>
              </w:rPr>
              <w:t>初步具备依托</w:t>
            </w:r>
            <w:r>
              <w:rPr>
                <w:rFonts w:hint="eastAsia" w:eastAsia="仿宋_GB2312" w:cs="Times New Roman"/>
                <w:color w:val="auto"/>
                <w:kern w:val="0"/>
                <w:sz w:val="24"/>
                <w:highlight w:val="none"/>
                <w:lang w:val="en-US" w:eastAsia="zh-CN"/>
              </w:rPr>
              <w:t>公共数据流通利用</w:t>
            </w:r>
            <w:r>
              <w:rPr>
                <w:rFonts w:hint="default" w:ascii="Times New Roman" w:hAnsi="Times New Roman" w:eastAsia="仿宋_GB2312" w:cs="Times New Roman"/>
                <w:color w:val="auto"/>
                <w:kern w:val="0"/>
                <w:sz w:val="24"/>
                <w:highlight w:val="none"/>
                <w:lang w:val="en-US" w:eastAsia="zh-CN"/>
              </w:rPr>
              <w:t>基础设施开展数据活动的能力，但在数据治理深度、开发</w:t>
            </w:r>
            <w:r>
              <w:rPr>
                <w:rFonts w:hint="eastAsia" w:eastAsia="仿宋_GB2312" w:cs="Times New Roman"/>
                <w:color w:val="auto"/>
                <w:kern w:val="0"/>
                <w:sz w:val="24"/>
                <w:highlight w:val="none"/>
                <w:lang w:val="en-US" w:eastAsia="zh-CN"/>
              </w:rPr>
              <w:t>等</w:t>
            </w:r>
            <w:r>
              <w:rPr>
                <w:rFonts w:hint="default" w:ascii="Times New Roman" w:hAnsi="Times New Roman" w:eastAsia="仿宋_GB2312" w:cs="Times New Roman"/>
                <w:color w:val="auto"/>
                <w:kern w:val="0"/>
                <w:sz w:val="24"/>
                <w:highlight w:val="none"/>
                <w:lang w:val="en-US" w:eastAsia="zh-CN"/>
              </w:rPr>
              <w:t>方面存在明显不足的，得1-</w:t>
            </w:r>
            <w:r>
              <w:rPr>
                <w:rFonts w:hint="default" w:ascii="Times New Roman" w:hAnsi="Times New Roman" w:eastAsia="仿宋_GB2312" w:cs="Times New Roman"/>
                <w:color w:val="auto"/>
                <w:kern w:val="0"/>
                <w:sz w:val="24"/>
                <w:highlight w:val="none"/>
                <w:lang w:val="en-US" w:eastAsia="zh"/>
              </w:rPr>
              <w:t>5</w:t>
            </w:r>
            <w:r>
              <w:rPr>
                <w:rFonts w:hint="default" w:ascii="Times New Roman" w:hAnsi="Times New Roman" w:eastAsia="仿宋_GB2312" w:cs="Times New Roman"/>
                <w:color w:val="auto"/>
                <w:kern w:val="0"/>
                <w:sz w:val="24"/>
                <w:highlight w:val="none"/>
                <w:lang w:val="en-US" w:eastAsia="zh-CN"/>
              </w:rPr>
              <w:t>分；</w:t>
            </w:r>
          </w:p>
          <w:p w14:paraId="74A0158C">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val="en-US" w:eastAsia="zh"/>
              </w:rPr>
              <w:t>4.</w:t>
            </w:r>
            <w:r>
              <w:rPr>
                <w:rFonts w:hint="default" w:ascii="Times New Roman" w:hAnsi="Times New Roman" w:eastAsia="仿宋_GB2312" w:cs="Times New Roman"/>
                <w:color w:val="auto"/>
                <w:kern w:val="0"/>
                <w:sz w:val="24"/>
                <w:highlight w:val="none"/>
                <w:lang w:val="en-US" w:eastAsia="zh-CN"/>
              </w:rPr>
              <w:t>未提供的</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不得分。</w:t>
            </w:r>
          </w:p>
        </w:tc>
      </w:tr>
      <w:tr w14:paraId="703FCC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44" w:type="dxa"/>
            <w:vMerge w:val="continue"/>
            <w:noWrap w:val="0"/>
            <w:vAlign w:val="center"/>
          </w:tcPr>
          <w:p w14:paraId="1A108055">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p>
        </w:tc>
        <w:tc>
          <w:tcPr>
            <w:tcW w:w="1425" w:type="dxa"/>
            <w:shd w:val="clear" w:color="auto" w:fill="auto"/>
            <w:noWrap w:val="0"/>
            <w:vAlign w:val="center"/>
          </w:tcPr>
          <w:p w14:paraId="79087A9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业绩证明及实操案例</w:t>
            </w:r>
          </w:p>
          <w:p w14:paraId="33D555C7">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val="0"/>
                <w:bCs w:val="0"/>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（15分）</w:t>
            </w:r>
          </w:p>
        </w:tc>
        <w:tc>
          <w:tcPr>
            <w:tcW w:w="7818" w:type="dxa"/>
            <w:shd w:val="clear" w:color="auto" w:fill="auto"/>
            <w:noWrap w:val="0"/>
            <w:vAlign w:val="center"/>
          </w:tcPr>
          <w:p w14:paraId="0F319002">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根据申报单位提供的相关业绩合同或实操案例进行评审：</w:t>
            </w:r>
          </w:p>
          <w:p w14:paraId="37529A4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1.2023年1月1日至今（以申报截止日期为准），申报单位承接数据资源登记、数据产品开发、数据共享交换、数据治理、数据资产入表等相关领域平台建设或服务类的业绩合同，每提供1个得2分，每个大类仅计1个</w:t>
            </w:r>
            <w:r>
              <w:rPr>
                <w:rFonts w:hint="default" w:ascii="Times New Roman" w:hAnsi="Times New Roman" w:eastAsia="仿宋_GB2312" w:cs="Times New Roman"/>
                <w:color w:val="auto"/>
                <w:kern w:val="0"/>
                <w:sz w:val="24"/>
                <w:highlight w:val="none"/>
                <w:lang w:eastAsia="zh"/>
              </w:rPr>
              <w:t>有效</w:t>
            </w:r>
            <w:r>
              <w:rPr>
                <w:rFonts w:hint="default" w:ascii="Times New Roman" w:hAnsi="Times New Roman" w:eastAsia="仿宋_GB2312" w:cs="Times New Roman"/>
                <w:color w:val="auto"/>
                <w:kern w:val="0"/>
                <w:sz w:val="24"/>
                <w:highlight w:val="none"/>
              </w:rPr>
              <w:t>业绩合同，该项最多得10分；</w:t>
            </w:r>
          </w:p>
          <w:p w14:paraId="5BAD2E73">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2.2023年1月1日至今（以申报截止日期为准），申报单位牵头获得</w:t>
            </w:r>
            <w:r>
              <w:rPr>
                <w:rFonts w:hint="eastAsia"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数据要素×</w:t>
            </w:r>
            <w:r>
              <w:rPr>
                <w:rFonts w:hint="eastAsia"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大赛国家级奖项，一等奖得5分，二等奖得2分，三等奖得1分，其他情况不得分。</w:t>
            </w:r>
          </w:p>
          <w:p w14:paraId="3F3FB755">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rPr>
              <w:t>注：需提供案例相关佐证材料，如有效获奖证书、合同等材料。</w:t>
            </w:r>
          </w:p>
        </w:tc>
      </w:tr>
      <w:tr w14:paraId="5E7CA6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6" w:hRule="atLeast"/>
          <w:jc w:val="center"/>
        </w:trPr>
        <w:tc>
          <w:tcPr>
            <w:tcW w:w="1344" w:type="dxa"/>
            <w:vMerge w:val="restart"/>
            <w:noWrap w:val="0"/>
            <w:vAlign w:val="center"/>
          </w:tcPr>
          <w:p w14:paraId="446C5A22">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服务能力</w:t>
            </w:r>
          </w:p>
          <w:p w14:paraId="69DA26E9">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（45分）</w:t>
            </w:r>
          </w:p>
        </w:tc>
        <w:tc>
          <w:tcPr>
            <w:tcW w:w="1425" w:type="dxa"/>
            <w:shd w:val="clear" w:color="auto" w:fill="auto"/>
            <w:noWrap w:val="0"/>
            <w:vAlign w:val="center"/>
          </w:tcPr>
          <w:p w14:paraId="06EE56A6">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运营能力</w:t>
            </w:r>
          </w:p>
          <w:p w14:paraId="1E44DCC4">
            <w:pPr>
              <w:keepNext w:val="0"/>
              <w:keepLines w:val="0"/>
              <w:widowControl/>
              <w:suppressLineNumbers w:val="0"/>
              <w:snapToGrid/>
              <w:spacing w:before="0" w:beforeAutospacing="0" w:after="0" w:afterLines="0" w:afterAutospacing="0" w:line="320" w:lineRule="exact"/>
              <w:ind w:left="0" w:leftChars="0" w:right="0" w:rightChars="0" w:firstLine="0" w:firstLineChars="0"/>
              <w:jc w:val="center"/>
              <w:rPr>
                <w:rFonts w:hint="default" w:ascii="Times New Roman" w:hAnsi="Times New Roman" w:eastAsia="仿宋_GB2312" w:cs="Times New Roman"/>
                <w:b/>
                <w:bCs/>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lang w:val="en-US" w:eastAsia="zh-CN"/>
              </w:rPr>
              <w:t>（10分）</w:t>
            </w:r>
          </w:p>
        </w:tc>
        <w:tc>
          <w:tcPr>
            <w:tcW w:w="7818" w:type="dxa"/>
            <w:shd w:val="clear" w:color="auto" w:fill="auto"/>
            <w:noWrap w:val="0"/>
            <w:vAlign w:val="center"/>
          </w:tcPr>
          <w:p w14:paraId="54A34421">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CN"/>
              </w:rPr>
              <w:t>1.数据要素项目运营能力（5分）</w:t>
            </w:r>
          </w:p>
          <w:p w14:paraId="29455ABF">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申报单位已具备成熟的省级数据要素项目运营经验，可有效融合公共数据、市场数据进行产品开发和应用，有成熟数据应用场景，取得社会效益或经济效益，得5分；具备基础的数据项目运营能力，取得一定效果，未形成成熟的体系，得3分；申报单位过往项目以信息化基础设施建设为主，尚未实质性开展数据要素应用，得1分；未提供不得分。</w:t>
            </w:r>
          </w:p>
          <w:p w14:paraId="2C195A53">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CN"/>
              </w:rPr>
              <w:t>2 .数据生态</w:t>
            </w:r>
            <w:r>
              <w:rPr>
                <w:rFonts w:hint="eastAsia" w:eastAsia="仿宋_GB2312" w:cs="Times New Roman"/>
                <w:b/>
                <w:bCs/>
                <w:color w:val="auto"/>
                <w:kern w:val="0"/>
                <w:sz w:val="24"/>
                <w:highlight w:val="none"/>
                <w:lang w:val="en-US" w:eastAsia="zh-CN"/>
              </w:rPr>
              <w:t>培育</w:t>
            </w:r>
            <w:r>
              <w:rPr>
                <w:rFonts w:hint="default" w:ascii="Times New Roman" w:hAnsi="Times New Roman" w:eastAsia="仿宋_GB2312" w:cs="Times New Roman"/>
                <w:b/>
                <w:bCs/>
                <w:color w:val="auto"/>
                <w:kern w:val="0"/>
                <w:sz w:val="24"/>
                <w:highlight w:val="none"/>
                <w:lang w:val="en-US" w:eastAsia="zh-CN"/>
              </w:rPr>
              <w:t>能力（</w:t>
            </w:r>
            <w:r>
              <w:rPr>
                <w:rFonts w:hint="default" w:ascii="Times New Roman" w:hAnsi="Times New Roman" w:eastAsia="仿宋_GB2312" w:cs="Times New Roman"/>
                <w:b/>
                <w:bCs/>
                <w:color w:val="auto"/>
                <w:kern w:val="0"/>
                <w:sz w:val="24"/>
                <w:highlight w:val="none"/>
                <w:lang w:val="en-US" w:eastAsia="zh"/>
              </w:rPr>
              <w:t>5</w:t>
            </w:r>
            <w:r>
              <w:rPr>
                <w:rFonts w:hint="default" w:ascii="Times New Roman" w:hAnsi="Times New Roman" w:eastAsia="仿宋_GB2312" w:cs="Times New Roman"/>
                <w:b/>
                <w:bCs/>
                <w:color w:val="auto"/>
                <w:kern w:val="0"/>
                <w:sz w:val="24"/>
                <w:highlight w:val="none"/>
                <w:lang w:val="en-US" w:eastAsia="zh-CN"/>
              </w:rPr>
              <w:t>分）</w:t>
            </w:r>
          </w:p>
          <w:p w14:paraId="6761C767">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bidi="ar-SA"/>
              </w:rPr>
            </w:pPr>
            <w:r>
              <w:rPr>
                <w:rFonts w:hint="default" w:ascii="Times New Roman" w:hAnsi="Times New Roman" w:eastAsia="仿宋_GB2312" w:cs="Times New Roman"/>
                <w:color w:val="auto"/>
                <w:kern w:val="0"/>
                <w:sz w:val="24"/>
                <w:highlight w:val="none"/>
                <w:lang w:val="en-US" w:eastAsia="zh"/>
              </w:rPr>
              <w:t>申报单位已构建成熟的数商培育与生态运营体系，可有效连接多元数商主体，且有数据领域组织搭建</w:t>
            </w:r>
            <w:r>
              <w:rPr>
                <w:rFonts w:hint="default" w:ascii="Times New Roman" w:hAnsi="Times New Roman" w:eastAsia="仿宋_GB2312" w:cs="Times New Roman"/>
                <w:color w:val="auto"/>
                <w:kern w:val="0"/>
                <w:sz w:val="24"/>
                <w:highlight w:val="none"/>
                <w:lang w:val="en-US" w:eastAsia="zh-CN"/>
              </w:rPr>
              <w:t>（如数据协会/联盟）</w:t>
            </w:r>
            <w:r>
              <w:rPr>
                <w:rFonts w:hint="default" w:ascii="Times New Roman" w:hAnsi="Times New Roman" w:eastAsia="仿宋_GB2312" w:cs="Times New Roman"/>
                <w:color w:val="auto"/>
                <w:kern w:val="0"/>
                <w:sz w:val="24"/>
                <w:highlight w:val="none"/>
                <w:lang w:val="en-US" w:eastAsia="zh"/>
              </w:rPr>
              <w:t>、数据领域赛事承办、生态培育活动开展等实际运营实践支撑，得5分；有基础的数商合作与培育思路，能搭建初步数据运营生态，得3分；仅具备简单的数商对接能力，无生态构建及运营体系规划，得1分；未提供不得分</w:t>
            </w:r>
            <w:r>
              <w:rPr>
                <w:rFonts w:hint="default" w:ascii="Times New Roman" w:hAnsi="Times New Roman" w:eastAsia="仿宋_GB2312" w:cs="Times New Roman"/>
                <w:color w:val="auto"/>
                <w:kern w:val="0"/>
                <w:sz w:val="24"/>
                <w:highlight w:val="none"/>
                <w:lang w:val="en-US" w:eastAsia="zh-CN"/>
              </w:rPr>
              <w:t>。</w:t>
            </w:r>
          </w:p>
        </w:tc>
      </w:tr>
      <w:tr w14:paraId="480F20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98" w:hRule="atLeast"/>
          <w:jc w:val="center"/>
        </w:trPr>
        <w:tc>
          <w:tcPr>
            <w:tcW w:w="1344" w:type="dxa"/>
            <w:vMerge w:val="continue"/>
            <w:noWrap w:val="0"/>
            <w:vAlign w:val="center"/>
          </w:tcPr>
          <w:p w14:paraId="74B0C04C">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p>
        </w:tc>
        <w:tc>
          <w:tcPr>
            <w:tcW w:w="1425" w:type="dxa"/>
            <w:shd w:val="clear" w:color="auto" w:fill="auto"/>
            <w:noWrap w:val="0"/>
            <w:vAlign w:val="center"/>
          </w:tcPr>
          <w:p w14:paraId="4D997271">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运营方案</w:t>
            </w:r>
          </w:p>
          <w:p w14:paraId="2BF0D7D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lang w:val="en-US" w:eastAsia="zh-CN"/>
              </w:rPr>
              <w:t>（20分）</w:t>
            </w:r>
          </w:p>
        </w:tc>
        <w:tc>
          <w:tcPr>
            <w:tcW w:w="7818" w:type="dxa"/>
            <w:shd w:val="clear" w:color="auto" w:fill="auto"/>
            <w:noWrap w:val="0"/>
            <w:vAlign w:val="center"/>
          </w:tcPr>
          <w:p w14:paraId="61C724D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1</w:t>
            </w:r>
            <w:r>
              <w:rPr>
                <w:rFonts w:hint="default" w:ascii="Times New Roman" w:hAnsi="Times New Roman" w:eastAsia="仿宋_GB2312" w:cs="Times New Roman"/>
                <w:b/>
                <w:bCs/>
                <w:color w:val="auto"/>
                <w:kern w:val="0"/>
                <w:sz w:val="24"/>
                <w:highlight w:val="none"/>
                <w:lang w:val="en-US" w:eastAsia="zh-CN"/>
              </w:rPr>
              <w:t>.总体思路（4分）</w:t>
            </w:r>
          </w:p>
          <w:p w14:paraId="0260261A">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申报方案高度契合</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
              </w:rPr>
              <w:t>三医</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领域公共数据</w:t>
            </w:r>
            <w:r>
              <w:rPr>
                <w:rFonts w:hint="eastAsia" w:eastAsia="仿宋_GB2312" w:cs="Times New Roman"/>
                <w:color w:val="auto"/>
                <w:kern w:val="0"/>
                <w:sz w:val="24"/>
                <w:highlight w:val="none"/>
                <w:lang w:val="en-US" w:eastAsia="zh-CN"/>
              </w:rPr>
              <w:t>资源</w:t>
            </w:r>
            <w:r>
              <w:rPr>
                <w:rFonts w:hint="default" w:ascii="Times New Roman" w:hAnsi="Times New Roman" w:eastAsia="仿宋_GB2312" w:cs="Times New Roman"/>
                <w:color w:val="auto"/>
                <w:kern w:val="0"/>
                <w:sz w:val="24"/>
                <w:highlight w:val="none"/>
                <w:lang w:val="en-US" w:eastAsia="zh-CN"/>
              </w:rPr>
              <w:t>授权运营的发展导向，总体思路清晰、前瞻性强，明确分领域运营目标、实施路径、权责边界，得</w:t>
            </w:r>
            <w:r>
              <w:rPr>
                <w:rFonts w:hint="eastAsia" w:eastAsia="仿宋_GB2312" w:cs="Times New Roman"/>
                <w:color w:val="auto"/>
                <w:kern w:val="0"/>
                <w:sz w:val="24"/>
                <w:highlight w:val="none"/>
                <w:lang w:val="en-US" w:eastAsia="zh-CN"/>
              </w:rPr>
              <w:t>4</w:t>
            </w:r>
            <w:r>
              <w:rPr>
                <w:rFonts w:hint="default" w:ascii="Times New Roman" w:hAnsi="Times New Roman" w:eastAsia="仿宋_GB2312" w:cs="Times New Roman"/>
                <w:color w:val="auto"/>
                <w:kern w:val="0"/>
                <w:sz w:val="24"/>
                <w:highlight w:val="none"/>
                <w:lang w:val="en-US" w:eastAsia="zh-CN"/>
              </w:rPr>
              <w:t>分；思路较清晰，基本贴合领域需求，实施路径较明确，得</w:t>
            </w:r>
            <w:r>
              <w:rPr>
                <w:rFonts w:hint="eastAsia" w:eastAsia="仿宋_GB2312"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分；思路模糊，与领域运营需求脱节，未明确核心目标，得1分；未提供不得分。</w:t>
            </w:r>
          </w:p>
          <w:p w14:paraId="745424F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2</w:t>
            </w:r>
            <w:r>
              <w:rPr>
                <w:rFonts w:hint="default" w:ascii="Times New Roman" w:hAnsi="Times New Roman" w:eastAsia="仿宋_GB2312" w:cs="Times New Roman"/>
                <w:b/>
                <w:bCs/>
                <w:color w:val="auto"/>
                <w:kern w:val="0"/>
                <w:sz w:val="24"/>
                <w:highlight w:val="none"/>
                <w:lang w:val="en-US" w:eastAsia="zh-CN"/>
              </w:rPr>
              <w:t>.数据处理及技术方案（8分）</w:t>
            </w:r>
          </w:p>
          <w:p w14:paraId="7B2EC30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能够紧密结合</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三医</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领域数据特性，制定专属加工治理流程</w:t>
            </w:r>
            <w:r>
              <w:rPr>
                <w:rFonts w:hint="eastAsia" w:eastAsia="仿宋_GB2312" w:cs="Times New Roman"/>
                <w:color w:val="auto"/>
                <w:kern w:val="0"/>
                <w:sz w:val="24"/>
                <w:highlight w:val="none"/>
                <w:lang w:val="en-US" w:eastAsia="zh-CN"/>
              </w:rPr>
              <w:t>，包</w:t>
            </w:r>
            <w:r>
              <w:rPr>
                <w:rFonts w:hint="default" w:ascii="Times New Roman" w:hAnsi="Times New Roman" w:eastAsia="仿宋_GB2312" w:cs="Times New Roman"/>
                <w:color w:val="auto"/>
                <w:kern w:val="0"/>
                <w:sz w:val="24"/>
                <w:highlight w:val="none"/>
                <w:lang w:val="en-US" w:eastAsia="zh-CN"/>
              </w:rPr>
              <w:t>含数据清洗、脱敏、标准化、融合、质量核查等环节，技术方案适配性强、可落地，得8分；有领域化治理方案，覆盖主要环节，技术路径较适配，得4</w:t>
            </w:r>
            <w:r>
              <w:rPr>
                <w:rFonts w:hint="eastAsia" w:eastAsia="仿宋_GB2312" w:cs="Times New Roman"/>
                <w:color w:val="auto"/>
                <w:kern w:val="0"/>
                <w:sz w:val="24"/>
                <w:highlight w:val="none"/>
                <w:lang w:val="en-US" w:eastAsia="zh-CN"/>
              </w:rPr>
              <w:t>-6</w:t>
            </w:r>
            <w:r>
              <w:rPr>
                <w:rFonts w:hint="default" w:ascii="Times New Roman" w:hAnsi="Times New Roman" w:eastAsia="仿宋_GB2312" w:cs="Times New Roman"/>
                <w:color w:val="auto"/>
                <w:kern w:val="0"/>
                <w:sz w:val="24"/>
                <w:highlight w:val="none"/>
                <w:lang w:val="en-US" w:eastAsia="zh-CN"/>
              </w:rPr>
              <w:t>分；采用通用治理方案，无领域针对性，得1</w:t>
            </w:r>
            <w:r>
              <w:rPr>
                <w:rFonts w:hint="eastAsia" w:eastAsia="仿宋_GB2312"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分；未提供不得分。</w:t>
            </w:r>
          </w:p>
          <w:p w14:paraId="52949935">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CN"/>
              </w:rPr>
              <w:t>3.数据场景和产品方案（8分）</w:t>
            </w:r>
          </w:p>
          <w:p w14:paraId="32CEB70D">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
              </w:rPr>
            </w:pPr>
            <w:r>
              <w:rPr>
                <w:rFonts w:hint="default" w:ascii="Times New Roman" w:hAnsi="Times New Roman" w:eastAsia="仿宋_GB2312" w:cs="Times New Roman"/>
                <w:color w:val="auto"/>
                <w:kern w:val="0"/>
                <w:sz w:val="24"/>
                <w:highlight w:val="none"/>
                <w:lang w:val="en-US" w:eastAsia="zh-CN"/>
              </w:rPr>
              <w:t>深度挖掘</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三医</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领域应用场景</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规划场景数量达到10个及以上。产品规划充分贴合领域产业发展及政务服务需求，明确阐述了产品功能、服务对象、落地实施步骤及预期价值，方案具备较强的可复制性与推广潜力，得8分；挖掘应用场景5个及以上，产品规划基本贴合领域需求，具备初步的落地思路，但在系统性或价值预期方面阐述不够充分，得4</w:t>
            </w:r>
            <w:r>
              <w:rPr>
                <w:rFonts w:hint="eastAsia" w:eastAsia="仿宋_GB2312" w:cs="Times New Roman"/>
                <w:color w:val="auto"/>
                <w:kern w:val="0"/>
                <w:sz w:val="24"/>
                <w:highlight w:val="none"/>
                <w:lang w:val="en-US" w:eastAsia="zh-CN"/>
              </w:rPr>
              <w:t>-6</w:t>
            </w:r>
            <w:r>
              <w:rPr>
                <w:rFonts w:hint="default" w:ascii="Times New Roman" w:hAnsi="Times New Roman" w:eastAsia="仿宋_GB2312" w:cs="Times New Roman"/>
                <w:color w:val="auto"/>
                <w:kern w:val="0"/>
                <w:sz w:val="24"/>
                <w:highlight w:val="none"/>
                <w:lang w:val="en-US" w:eastAsia="zh-CN"/>
              </w:rPr>
              <w:t>分；场景挖掘单一，产品规划无明确落地路径，得1</w:t>
            </w:r>
            <w:r>
              <w:rPr>
                <w:rFonts w:hint="eastAsia" w:eastAsia="仿宋_GB2312"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分；未提供不得分。</w:t>
            </w:r>
          </w:p>
        </w:tc>
      </w:tr>
      <w:tr w14:paraId="6BDA50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09" w:hRule="atLeast"/>
          <w:jc w:val="center"/>
        </w:trPr>
        <w:tc>
          <w:tcPr>
            <w:tcW w:w="1344" w:type="dxa"/>
            <w:vMerge w:val="continue"/>
            <w:noWrap w:val="0"/>
            <w:vAlign w:val="center"/>
          </w:tcPr>
          <w:p w14:paraId="1FC47853">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p>
        </w:tc>
        <w:tc>
          <w:tcPr>
            <w:tcW w:w="1425" w:type="dxa"/>
            <w:shd w:val="clear" w:color="auto" w:fill="auto"/>
            <w:noWrap w:val="0"/>
            <w:vAlign w:val="center"/>
          </w:tcPr>
          <w:p w14:paraId="3DB21AB2">
            <w:pPr>
              <w:keepNext w:val="0"/>
              <w:keepLines w:val="0"/>
              <w:widowControl/>
              <w:suppressLineNumbers w:val="0"/>
              <w:snapToGrid/>
              <w:spacing w:before="0" w:beforeAutospacing="0" w:after="0" w:afterLines="-2147483648" w:afterAutospacing="0" w:line="240" w:lineRule="auto"/>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团队人员</w:t>
            </w:r>
          </w:p>
          <w:p w14:paraId="61F84456">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（15分）</w:t>
            </w:r>
          </w:p>
        </w:tc>
        <w:tc>
          <w:tcPr>
            <w:tcW w:w="7818" w:type="dxa"/>
            <w:shd w:val="clear" w:color="auto" w:fill="auto"/>
            <w:noWrap w:val="0"/>
            <w:vAlign w:val="center"/>
          </w:tcPr>
          <w:p w14:paraId="587D7CE5">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1.</w:t>
            </w:r>
            <w:r>
              <w:rPr>
                <w:rFonts w:hint="default" w:ascii="Times New Roman" w:hAnsi="Times New Roman" w:eastAsia="仿宋_GB2312" w:cs="Times New Roman"/>
                <w:b/>
                <w:bCs/>
                <w:color w:val="auto"/>
                <w:kern w:val="0"/>
                <w:sz w:val="24"/>
                <w:highlight w:val="none"/>
                <w:lang w:val="en-US" w:eastAsia="zh-CN"/>
              </w:rPr>
              <w:t>团队规模（5分）</w:t>
            </w:r>
          </w:p>
          <w:p w14:paraId="3E1B7231">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申报单位承诺投入运营工作的团队人数10人及以上的</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得5分</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5-9人得3分</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1-4人得1分</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未提供</w:t>
            </w:r>
            <w:r>
              <w:rPr>
                <w:rFonts w:hint="eastAsia" w:eastAsia="仿宋_GB2312" w:cs="Times New Roman"/>
                <w:color w:val="auto"/>
                <w:kern w:val="0"/>
                <w:sz w:val="24"/>
                <w:highlight w:val="none"/>
                <w:lang w:val="en-US" w:eastAsia="zh-CN"/>
              </w:rPr>
              <w:t>的，</w:t>
            </w:r>
            <w:r>
              <w:rPr>
                <w:rFonts w:hint="default" w:ascii="Times New Roman" w:hAnsi="Times New Roman" w:eastAsia="仿宋_GB2312" w:cs="Times New Roman"/>
                <w:color w:val="auto"/>
                <w:kern w:val="0"/>
                <w:sz w:val="24"/>
                <w:highlight w:val="none"/>
                <w:lang w:val="en-US" w:eastAsia="zh-CN"/>
              </w:rPr>
              <w:t>不得分。</w:t>
            </w:r>
          </w:p>
          <w:p w14:paraId="5FB9A9B1">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2.</w:t>
            </w:r>
            <w:r>
              <w:rPr>
                <w:rFonts w:hint="default" w:ascii="Times New Roman" w:hAnsi="Times New Roman" w:eastAsia="仿宋_GB2312" w:cs="Times New Roman"/>
                <w:b/>
                <w:bCs/>
                <w:color w:val="auto"/>
                <w:kern w:val="0"/>
                <w:sz w:val="24"/>
                <w:highlight w:val="none"/>
                <w:lang w:val="en-US" w:eastAsia="zh-CN"/>
              </w:rPr>
              <w:t>团队负责人技术能力（1人）（5分）</w:t>
            </w:r>
          </w:p>
          <w:p w14:paraId="6F019AAB">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
              </w:rPr>
              <w:t>团队</w:t>
            </w:r>
            <w:r>
              <w:rPr>
                <w:rFonts w:hint="default" w:ascii="Times New Roman" w:hAnsi="Times New Roman" w:eastAsia="仿宋_GB2312" w:cs="Times New Roman"/>
                <w:color w:val="auto"/>
                <w:kern w:val="0"/>
                <w:sz w:val="24"/>
                <w:highlight w:val="none"/>
                <w:lang w:val="en-US" w:eastAsia="zh-CN"/>
              </w:rPr>
              <w:t>负责人同时具有高级信息系统项目管理师、高级系统分析师、高级信创集成项目管理师证书的，得5分；仅具有部分的，每有一项得1分，最多2分；其他情况不得分。</w:t>
            </w:r>
          </w:p>
          <w:p w14:paraId="1F75CF09">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证明材料：提供项目负责人身份证、资格证书复印件加盖</w:t>
            </w:r>
            <w:r>
              <w:rPr>
                <w:rFonts w:hint="eastAsia" w:eastAsia="仿宋_GB2312" w:cs="Times New Roman"/>
                <w:color w:val="auto"/>
                <w:kern w:val="0"/>
                <w:sz w:val="24"/>
                <w:highlight w:val="none"/>
                <w:lang w:val="en-US" w:eastAsia="zh-CN"/>
              </w:rPr>
              <w:t>申报</w:t>
            </w:r>
            <w:r>
              <w:rPr>
                <w:rFonts w:hint="default" w:ascii="Times New Roman" w:hAnsi="Times New Roman" w:eastAsia="仿宋_GB2312" w:cs="Times New Roman"/>
                <w:color w:val="auto"/>
                <w:kern w:val="0"/>
                <w:sz w:val="24"/>
                <w:highlight w:val="none"/>
                <w:lang w:val="en-US" w:eastAsia="zh-CN"/>
              </w:rPr>
              <w:t>单位公章。社保证明：2025年至今连续3个月</w:t>
            </w:r>
            <w:r>
              <w:rPr>
                <w:rFonts w:hint="eastAsia" w:eastAsia="仿宋_GB2312" w:cs="Times New Roman"/>
                <w:color w:val="auto"/>
                <w:kern w:val="0"/>
                <w:sz w:val="24"/>
                <w:highlight w:val="none"/>
                <w:lang w:val="en-US" w:eastAsia="zh-CN"/>
              </w:rPr>
              <w:t>申报单位</w:t>
            </w:r>
            <w:r>
              <w:rPr>
                <w:rFonts w:hint="default" w:ascii="Times New Roman" w:hAnsi="Times New Roman" w:eastAsia="仿宋_GB2312" w:cs="Times New Roman"/>
                <w:color w:val="auto"/>
                <w:kern w:val="0"/>
                <w:sz w:val="24"/>
                <w:highlight w:val="none"/>
                <w:lang w:val="en-US" w:eastAsia="zh-CN"/>
              </w:rPr>
              <w:t>为其缴纳的社保证明材料，加盖</w:t>
            </w:r>
            <w:r>
              <w:rPr>
                <w:rFonts w:hint="eastAsia" w:eastAsia="仿宋_GB2312" w:cs="Times New Roman"/>
                <w:color w:val="auto"/>
                <w:kern w:val="0"/>
                <w:sz w:val="24"/>
                <w:highlight w:val="none"/>
                <w:lang w:val="en-US" w:eastAsia="zh-CN"/>
              </w:rPr>
              <w:t>申报单位</w:t>
            </w:r>
            <w:r>
              <w:rPr>
                <w:rFonts w:hint="default" w:ascii="Times New Roman" w:hAnsi="Times New Roman" w:eastAsia="仿宋_GB2312" w:cs="Times New Roman"/>
                <w:color w:val="auto"/>
                <w:kern w:val="0"/>
                <w:sz w:val="24"/>
                <w:highlight w:val="none"/>
                <w:lang w:val="en-US" w:eastAsia="zh-CN"/>
              </w:rPr>
              <w:t>公章。</w:t>
            </w:r>
          </w:p>
          <w:p w14:paraId="45EE325B">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3.</w:t>
            </w:r>
            <w:r>
              <w:rPr>
                <w:rFonts w:hint="default" w:ascii="Times New Roman" w:hAnsi="Times New Roman" w:eastAsia="仿宋_GB2312" w:cs="Times New Roman"/>
                <w:b/>
                <w:bCs/>
                <w:color w:val="auto"/>
                <w:kern w:val="0"/>
                <w:sz w:val="24"/>
                <w:highlight w:val="none"/>
                <w:lang w:val="en-US" w:eastAsia="zh-CN"/>
              </w:rPr>
              <w:t>团队人员技术能力（5分）</w:t>
            </w:r>
          </w:p>
          <w:p w14:paraId="3ED366DC">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除</w:t>
            </w:r>
            <w:r>
              <w:rPr>
                <w:rFonts w:hint="default" w:ascii="Times New Roman" w:hAnsi="Times New Roman" w:eastAsia="仿宋_GB2312" w:cs="Times New Roman"/>
                <w:color w:val="auto"/>
                <w:kern w:val="0"/>
                <w:sz w:val="24"/>
                <w:highlight w:val="none"/>
                <w:lang w:val="en-US" w:eastAsia="zh"/>
              </w:rPr>
              <w:t>团队</w:t>
            </w:r>
            <w:r>
              <w:rPr>
                <w:rFonts w:hint="default" w:ascii="Times New Roman" w:hAnsi="Times New Roman" w:eastAsia="仿宋_GB2312" w:cs="Times New Roman"/>
                <w:color w:val="auto"/>
                <w:kern w:val="0"/>
                <w:sz w:val="24"/>
                <w:highlight w:val="none"/>
                <w:lang w:val="en-US" w:eastAsia="zh-CN"/>
              </w:rPr>
              <w:t>负责人以外的团队成员具有系统架构设计师、数据库系统工程师、信息安全工程师</w:t>
            </w:r>
            <w:r>
              <w:rPr>
                <w:rFonts w:hint="default" w:ascii="Times New Roman" w:hAnsi="Times New Roman" w:eastAsia="仿宋_GB2312" w:cs="Times New Roman"/>
                <w:color w:val="auto"/>
                <w:kern w:val="0"/>
                <w:sz w:val="24"/>
                <w:highlight w:val="none"/>
                <w:lang w:val="en-US" w:eastAsia="zh"/>
              </w:rPr>
              <w:t>、</w:t>
            </w:r>
            <w:r>
              <w:rPr>
                <w:rFonts w:hint="default" w:ascii="Times New Roman" w:hAnsi="Times New Roman" w:eastAsia="仿宋_GB2312" w:cs="Times New Roman"/>
                <w:color w:val="auto"/>
                <w:kern w:val="0"/>
                <w:sz w:val="24"/>
                <w:highlight w:val="none"/>
                <w:lang w:val="en-US" w:eastAsia="zh-CN"/>
              </w:rPr>
              <w:t>数据资产评估计价咨询师</w:t>
            </w:r>
            <w:r>
              <w:rPr>
                <w:rFonts w:hint="default" w:ascii="Times New Roman" w:hAnsi="Times New Roman" w:eastAsia="仿宋_GB2312" w:cs="Times New Roman"/>
                <w:color w:val="auto"/>
                <w:kern w:val="0"/>
                <w:sz w:val="24"/>
                <w:highlight w:val="none"/>
                <w:lang w:val="en-US" w:eastAsia="zh"/>
              </w:rPr>
              <w:t>、</w:t>
            </w:r>
            <w:r>
              <w:rPr>
                <w:rFonts w:hint="default" w:ascii="Times New Roman" w:hAnsi="Times New Roman" w:eastAsia="仿宋_GB2312" w:cs="Times New Roman"/>
                <w:color w:val="auto"/>
                <w:kern w:val="0"/>
                <w:sz w:val="24"/>
                <w:highlight w:val="none"/>
                <w:lang w:val="en-US" w:eastAsia="zh-CN"/>
              </w:rPr>
              <w:t>数据交易合规师资格证书的，每</w:t>
            </w:r>
            <w:r>
              <w:rPr>
                <w:rFonts w:hint="eastAsia" w:eastAsia="仿宋_GB2312" w:cs="Times New Roman"/>
                <w:color w:val="auto"/>
                <w:kern w:val="0"/>
                <w:sz w:val="24"/>
                <w:highlight w:val="none"/>
                <w:lang w:val="en-US" w:eastAsia="zh-CN"/>
              </w:rPr>
              <w:t>提供</w:t>
            </w:r>
            <w:r>
              <w:rPr>
                <w:rFonts w:hint="default" w:ascii="Times New Roman" w:hAnsi="Times New Roman" w:eastAsia="仿宋_GB2312" w:cs="Times New Roman"/>
                <w:color w:val="auto"/>
                <w:kern w:val="0"/>
                <w:sz w:val="24"/>
                <w:highlight w:val="none"/>
                <w:lang w:val="en-US" w:eastAsia="zh-CN"/>
              </w:rPr>
              <w:t>1</w:t>
            </w:r>
            <w:r>
              <w:rPr>
                <w:rFonts w:hint="eastAsia" w:eastAsia="仿宋_GB2312" w:cs="Times New Roman"/>
                <w:color w:val="auto"/>
                <w:kern w:val="0"/>
                <w:sz w:val="24"/>
                <w:highlight w:val="none"/>
                <w:lang w:val="en-US" w:eastAsia="zh-CN"/>
              </w:rPr>
              <w:t>种证书</w:t>
            </w:r>
            <w:r>
              <w:rPr>
                <w:rFonts w:hint="default" w:ascii="Times New Roman" w:hAnsi="Times New Roman" w:eastAsia="仿宋_GB2312" w:cs="Times New Roman"/>
                <w:color w:val="auto"/>
                <w:kern w:val="0"/>
                <w:sz w:val="24"/>
                <w:highlight w:val="none"/>
                <w:lang w:val="en-US" w:eastAsia="zh-CN"/>
              </w:rPr>
              <w:t>，得1分，该项总计5分。</w:t>
            </w:r>
          </w:p>
          <w:p w14:paraId="270F42D3">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证明材料：提供拟投入团队成员清单、身份证、资格证书等复印件加盖</w:t>
            </w:r>
            <w:r>
              <w:rPr>
                <w:rFonts w:hint="eastAsia" w:eastAsia="仿宋_GB2312" w:cs="Times New Roman"/>
                <w:color w:val="auto"/>
                <w:kern w:val="0"/>
                <w:sz w:val="24"/>
                <w:highlight w:val="none"/>
                <w:lang w:val="en-US" w:eastAsia="zh-CN"/>
              </w:rPr>
              <w:t>申报</w:t>
            </w:r>
            <w:r>
              <w:rPr>
                <w:rFonts w:hint="default" w:ascii="Times New Roman" w:hAnsi="Times New Roman" w:eastAsia="仿宋_GB2312" w:cs="Times New Roman"/>
                <w:color w:val="auto"/>
                <w:kern w:val="0"/>
                <w:sz w:val="24"/>
                <w:highlight w:val="none"/>
                <w:lang w:val="en-US" w:eastAsia="zh-CN"/>
              </w:rPr>
              <w:t>单位公章。</w:t>
            </w:r>
          </w:p>
          <w:p w14:paraId="74A33065">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社保证明：2025年至今连续3个月</w:t>
            </w:r>
            <w:r>
              <w:rPr>
                <w:rFonts w:hint="eastAsia" w:eastAsia="仿宋_GB2312" w:cs="Times New Roman"/>
                <w:color w:val="auto"/>
                <w:kern w:val="0"/>
                <w:sz w:val="24"/>
                <w:highlight w:val="none"/>
                <w:lang w:val="en-US" w:eastAsia="zh-CN"/>
              </w:rPr>
              <w:t>申报单位</w:t>
            </w:r>
            <w:r>
              <w:rPr>
                <w:rFonts w:hint="default" w:ascii="Times New Roman" w:hAnsi="Times New Roman" w:eastAsia="仿宋_GB2312" w:cs="Times New Roman"/>
                <w:color w:val="auto"/>
                <w:kern w:val="0"/>
                <w:sz w:val="24"/>
                <w:highlight w:val="none"/>
                <w:lang w:val="en-US" w:eastAsia="zh-CN"/>
              </w:rPr>
              <w:t>为成员缴纳的社保证明材料，加盖</w:t>
            </w:r>
            <w:r>
              <w:rPr>
                <w:rFonts w:hint="eastAsia" w:eastAsia="仿宋_GB2312" w:cs="Times New Roman"/>
                <w:color w:val="auto"/>
                <w:kern w:val="0"/>
                <w:sz w:val="24"/>
                <w:highlight w:val="none"/>
                <w:lang w:val="en-US" w:eastAsia="zh-CN"/>
              </w:rPr>
              <w:t>申报单位</w:t>
            </w:r>
            <w:r>
              <w:rPr>
                <w:rFonts w:hint="default" w:ascii="Times New Roman" w:hAnsi="Times New Roman" w:eastAsia="仿宋_GB2312" w:cs="Times New Roman"/>
                <w:color w:val="auto"/>
                <w:kern w:val="0"/>
                <w:sz w:val="24"/>
                <w:highlight w:val="none"/>
                <w:lang w:val="en-US" w:eastAsia="zh-CN"/>
              </w:rPr>
              <w:t>公章。</w:t>
            </w:r>
          </w:p>
        </w:tc>
      </w:tr>
      <w:tr w14:paraId="1C1FDB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1344" w:type="dxa"/>
            <w:noWrap w:val="0"/>
            <w:vAlign w:val="center"/>
          </w:tcPr>
          <w:p w14:paraId="00BD0384">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安全能力</w:t>
            </w:r>
          </w:p>
          <w:p w14:paraId="0A31F54B">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（10分）</w:t>
            </w:r>
          </w:p>
        </w:tc>
        <w:tc>
          <w:tcPr>
            <w:tcW w:w="1425" w:type="dxa"/>
            <w:shd w:val="clear" w:color="auto" w:fill="auto"/>
            <w:noWrap w:val="0"/>
            <w:vAlign w:val="center"/>
          </w:tcPr>
          <w:p w14:paraId="447BFE3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安全保障</w:t>
            </w:r>
          </w:p>
          <w:p w14:paraId="4CEA69D1">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（10分）</w:t>
            </w:r>
          </w:p>
        </w:tc>
        <w:tc>
          <w:tcPr>
            <w:tcW w:w="7818" w:type="dxa"/>
            <w:shd w:val="clear" w:color="auto" w:fill="auto"/>
            <w:noWrap w:val="0"/>
            <w:vAlign w:val="center"/>
          </w:tcPr>
          <w:p w14:paraId="4CCFDAB3">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对申报单位提供的安全保障方案进行评审：</w:t>
            </w:r>
          </w:p>
          <w:p w14:paraId="2660D13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1.具备完善的数据安全管理制度体系；</w:t>
            </w:r>
          </w:p>
          <w:p w14:paraId="0A98E0F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2.网络安全纵深防护方案设计完善，满足等级保护要求；</w:t>
            </w:r>
          </w:p>
          <w:p w14:paraId="038B4B98">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3.数据全生命周期安全保护方案设计完善，覆盖数据流通利用各环节；</w:t>
            </w:r>
          </w:p>
          <w:p w14:paraId="1DD0C84D">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4.具备完善的安全运营运维体系；</w:t>
            </w:r>
            <w:bookmarkStart w:id="0" w:name="_GoBack"/>
            <w:bookmarkEnd w:id="0"/>
          </w:p>
          <w:p w14:paraId="408E16E5">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5.具备完善的应急响应机制。</w:t>
            </w:r>
          </w:p>
          <w:p w14:paraId="32AFC28F">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评分规则：</w:t>
            </w:r>
            <w:r>
              <w:rPr>
                <w:rFonts w:hint="default" w:ascii="Times New Roman" w:hAnsi="Times New Roman" w:eastAsia="仿宋_GB2312" w:cs="Times New Roman"/>
                <w:color w:val="auto"/>
                <w:kern w:val="0"/>
                <w:sz w:val="24"/>
                <w:szCs w:val="24"/>
                <w:highlight w:val="none"/>
                <w:lang w:val="en-US" w:eastAsia="zh"/>
              </w:rPr>
              <w:t>方案科学性、合理性、完整性、针对性强的</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得10分</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kern w:val="0"/>
                <w:sz w:val="24"/>
                <w:szCs w:val="24"/>
                <w:highlight w:val="none"/>
              </w:rPr>
              <w:t>方案科学</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、合理</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、完整</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、针对性</w:t>
            </w:r>
            <w:r>
              <w:rPr>
                <w:rFonts w:hint="default" w:ascii="Times New Roman" w:hAnsi="Times New Roman" w:eastAsia="仿宋_GB2312" w:cs="Times New Roman"/>
                <w:kern w:val="0"/>
                <w:sz w:val="24"/>
                <w:szCs w:val="24"/>
                <w:highlight w:val="none"/>
                <w:lang w:eastAsia="zh"/>
              </w:rPr>
              <w:t>一般</w:t>
            </w:r>
            <w:r>
              <w:rPr>
                <w:rFonts w:hint="default" w:ascii="Times New Roman" w:hAnsi="Times New Roman" w:eastAsia="仿宋_GB2312" w:cs="Times New Roman"/>
                <w:kern w:val="0"/>
                <w:sz w:val="24"/>
                <w:szCs w:val="24"/>
                <w:highlight w:val="none"/>
              </w:rPr>
              <w:t>的</w:t>
            </w:r>
            <w:r>
              <w:rPr>
                <w:rFonts w:hint="eastAsia"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lang w:eastAsia="zh"/>
              </w:rPr>
              <w:t>得4-7</w:t>
            </w:r>
            <w:r>
              <w:rPr>
                <w:rFonts w:hint="default" w:ascii="Times New Roman" w:hAnsi="Times New Roman" w:eastAsia="仿宋_GB2312" w:cs="Times New Roman"/>
                <w:kern w:val="0"/>
                <w:sz w:val="24"/>
                <w:szCs w:val="24"/>
                <w:highlight w:val="none"/>
              </w:rPr>
              <w:t>分</w:t>
            </w:r>
            <w:r>
              <w:rPr>
                <w:rFonts w:hint="eastAsia"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方案科学</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、合理</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、完整</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、针对性</w:t>
            </w:r>
            <w:r>
              <w:rPr>
                <w:rFonts w:hint="default" w:ascii="Times New Roman" w:hAnsi="Times New Roman" w:eastAsia="仿宋_GB2312" w:cs="Times New Roman"/>
                <w:kern w:val="0"/>
                <w:sz w:val="24"/>
                <w:szCs w:val="24"/>
                <w:highlight w:val="none"/>
                <w:lang w:eastAsia="zh"/>
              </w:rPr>
              <w:t>不强、缺失或有明显漏洞的</w:t>
            </w:r>
            <w:r>
              <w:rPr>
                <w:rFonts w:hint="eastAsia"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lang w:eastAsia="zh"/>
              </w:rPr>
              <w:t>得1-3</w:t>
            </w:r>
            <w:r>
              <w:rPr>
                <w:rFonts w:hint="default" w:ascii="Times New Roman" w:hAnsi="Times New Roman" w:eastAsia="仿宋_GB2312" w:cs="Times New Roman"/>
                <w:kern w:val="0"/>
                <w:sz w:val="24"/>
                <w:szCs w:val="24"/>
                <w:highlight w:val="none"/>
              </w:rPr>
              <w:t>分</w:t>
            </w:r>
            <w:r>
              <w:rPr>
                <w:rFonts w:hint="default" w:ascii="Times New Roman" w:hAnsi="Times New Roman" w:eastAsia="仿宋_GB2312" w:cs="Times New Roman"/>
                <w:color w:val="auto"/>
                <w:kern w:val="0"/>
                <w:sz w:val="24"/>
                <w:szCs w:val="24"/>
                <w:highlight w:val="none"/>
                <w:lang w:val="en-US" w:eastAsia="zh"/>
              </w:rPr>
              <w:t>。未提供方案的</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不得分。</w:t>
            </w:r>
          </w:p>
          <w:p w14:paraId="29D7992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eastAsia="zh"/>
              </w:rPr>
            </w:pPr>
            <w:r>
              <w:rPr>
                <w:rFonts w:hint="default" w:ascii="Times New Roman" w:hAnsi="Times New Roman" w:eastAsia="仿宋_GB2312" w:cs="Times New Roman"/>
                <w:b/>
                <w:bCs/>
                <w:color w:val="auto"/>
                <w:kern w:val="0"/>
                <w:sz w:val="24"/>
                <w:szCs w:val="24"/>
                <w:highlight w:val="none"/>
                <w:lang w:val="en-US" w:eastAsia="zh"/>
              </w:rPr>
              <w:t>针对性不强或欠合理是指</w:t>
            </w:r>
            <w:r>
              <w:rPr>
                <w:rFonts w:hint="eastAsia" w:eastAsia="仿宋_GB2312" w:cs="Times New Roman"/>
                <w:b/>
                <w:bCs/>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①方案内容与项目需求不一致或没有关联性</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②涉及的技术规范及标准等与国家或行业标准或招标文件要求不一致</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③方案内容与实际实施存在差异性</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④内容空洞、语义表述不清，前后矛盾，存在歧义、混乱、内容不详实等。</w:t>
            </w:r>
          </w:p>
        </w:tc>
      </w:tr>
      <w:tr w14:paraId="309CD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344" w:type="dxa"/>
            <w:noWrap w:val="0"/>
            <w:vAlign w:val="center"/>
          </w:tcPr>
          <w:p w14:paraId="79E000AC">
            <w:pPr>
              <w:keepNext w:val="0"/>
              <w:keepLines w:val="0"/>
              <w:widowControl/>
              <w:suppressLineNumbers w:val="0"/>
              <w:adjustRightInd/>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b w:val="0"/>
                <w:color w:val="auto"/>
                <w:kern w:val="0"/>
                <w:sz w:val="24"/>
                <w:szCs w:val="24"/>
                <w:highlight w:val="none"/>
              </w:rPr>
            </w:pPr>
          </w:p>
        </w:tc>
        <w:tc>
          <w:tcPr>
            <w:tcW w:w="9243" w:type="dxa"/>
            <w:gridSpan w:val="2"/>
            <w:noWrap w:val="0"/>
            <w:vAlign w:val="center"/>
          </w:tcPr>
          <w:p w14:paraId="3824EF08">
            <w:pPr>
              <w:keepNext w:val="0"/>
              <w:keepLines w:val="0"/>
              <w:widowControl/>
              <w:suppressLineNumbers w:val="0"/>
              <w:adjustRightInd/>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color w:val="auto"/>
                <w:kern w:val="0"/>
                <w:sz w:val="24"/>
                <w:szCs w:val="24"/>
                <w:highlight w:val="none"/>
              </w:rPr>
              <w:t>总分：</w:t>
            </w:r>
            <w:r>
              <w:rPr>
                <w:rFonts w:hint="default" w:ascii="Times New Roman" w:hAnsi="Times New Roman" w:eastAsia="仿宋_GB2312" w:cs="Times New Roman"/>
                <w:b w:val="0"/>
                <w:color w:val="auto"/>
                <w:kern w:val="0"/>
                <w:sz w:val="24"/>
                <w:szCs w:val="24"/>
                <w:highlight w:val="none"/>
                <w:lang w:val="en-US" w:eastAsia="zh-CN"/>
              </w:rPr>
              <w:t>100</w:t>
            </w:r>
            <w:r>
              <w:rPr>
                <w:rFonts w:hint="default" w:ascii="Times New Roman" w:hAnsi="Times New Roman" w:eastAsia="仿宋_GB2312" w:cs="Times New Roman"/>
                <w:b w:val="0"/>
                <w:color w:val="auto"/>
                <w:kern w:val="0"/>
                <w:sz w:val="24"/>
                <w:szCs w:val="24"/>
                <w:highlight w:val="none"/>
              </w:rPr>
              <w:t>分</w:t>
            </w:r>
          </w:p>
        </w:tc>
      </w:tr>
    </w:tbl>
    <w:p w14:paraId="7F244714"/>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3D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3D34A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3D34A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6528D"/>
    <w:rsid w:val="2596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2026-03-19T14:43:00Z</dcterms:created>
  <dc:creator>LZY.</dc:creator>
  <cp:lastModifiedBy>LZY.</cp:lastModifiedBy>
  <dcterms:modified xsi:type="dcterms:W3CDTF">2026-03-19T14:44:47Z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E624150BE4584229BD00D2FC83818B25_11</vt:lpwstr>
  </property>
  <property fmtid="{D5CDD505-2E9C-101B-9397-08002B2CF9AE}" pid="4" name="KSOTemplateDocerSaveRecord">
    <vt:lpwstr>eyJoZGlkIjoiMjg2MzRjYTRmOGE3YTNmYjgyOTMwZTZjOGVhZmM0NWYiLCJ1c2VySWQiOiIyNzIwMjUwNzAifQ==</vt:lpwstr>
  </property>
</Properties>
</file>