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line="576" w:lineRule="exact"/>
        <w:ind w:left="0" w:leftChars="0"/>
        <w:jc w:val="both"/>
        <w:textAlignment w:val="auto"/>
        <w:outlineLvl w:val="9"/>
        <w:rPr>
          <w:rFonts w:hint="default" w:ascii="Nimbus Roman" w:hAnsi="Nimbus Roman" w:eastAsia="方正小标宋简体" w:cs="Nimbus Roman"/>
          <w:b w:val="0"/>
          <w:bCs w:val="0"/>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before="0" w:line="576" w:lineRule="exact"/>
        <w:ind w:left="0" w:leftChars="0"/>
        <w:jc w:val="both"/>
        <w:textAlignment w:val="auto"/>
        <w:outlineLvl w:val="9"/>
        <w:rPr>
          <w:rFonts w:hint="default" w:ascii="Nimbus Roman" w:hAnsi="Nimbus Roman" w:eastAsia="方正小标宋简体" w:cs="Nimbus Roman"/>
          <w:b w:val="0"/>
          <w:bCs w:val="0"/>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before="0" w:line="576" w:lineRule="exact"/>
        <w:ind w:left="0" w:leftChars="0"/>
        <w:jc w:val="center"/>
        <w:textAlignment w:val="auto"/>
        <w:outlineLvl w:val="0"/>
        <w:rPr>
          <w:rFonts w:hint="default" w:ascii="Nimbus Roman" w:hAnsi="Nimbus Roman" w:eastAsia="方正小标宋简体" w:cs="Nimbus Roman"/>
          <w:b w:val="0"/>
          <w:bCs w:val="0"/>
          <w:color w:val="auto"/>
          <w:sz w:val="44"/>
          <w:szCs w:val="44"/>
          <w:highlight w:val="none"/>
        </w:rPr>
      </w:pPr>
      <w:bookmarkStart w:id="0" w:name="_Toc7610"/>
      <w:bookmarkStart w:id="1" w:name="_Toc20440"/>
      <w:bookmarkStart w:id="2" w:name="_Toc9587"/>
      <w:r>
        <w:rPr>
          <w:rFonts w:hint="default" w:ascii="Nimbus Roman" w:hAnsi="Nimbus Roman" w:eastAsia="方正小标宋简体" w:cs="Nimbus Roman"/>
          <w:b w:val="0"/>
          <w:bCs w:val="0"/>
          <w:color w:val="auto"/>
          <w:sz w:val="44"/>
          <w:szCs w:val="44"/>
          <w:highlight w:val="none"/>
          <w:lang w:eastAsia="zh-CN"/>
        </w:rPr>
        <w:t>呼吸介入类</w:t>
      </w:r>
      <w:r>
        <w:rPr>
          <w:rFonts w:hint="default" w:ascii="Nimbus Roman" w:hAnsi="Nimbus Roman" w:eastAsia="方正小标宋简体" w:cs="Nimbus Roman"/>
          <w:b w:val="0"/>
          <w:bCs w:val="0"/>
          <w:color w:val="auto"/>
          <w:sz w:val="44"/>
          <w:szCs w:val="44"/>
          <w:highlight w:val="none"/>
        </w:rPr>
        <w:t>医用耗材省际联盟</w:t>
      </w:r>
      <w:bookmarkEnd w:id="0"/>
      <w:bookmarkEnd w:id="1"/>
      <w:bookmarkEnd w:id="2"/>
      <w:bookmarkStart w:id="3" w:name="_Toc26180"/>
      <w:bookmarkStart w:id="4" w:name="_Toc10223"/>
      <w:bookmarkStart w:id="5" w:name="_Toc8606"/>
      <w:r>
        <w:rPr>
          <w:rFonts w:hint="default" w:ascii="Nimbus Roman" w:hAnsi="Nimbus Roman" w:eastAsia="方正小标宋简体" w:cs="Nimbus Roman"/>
          <w:b w:val="0"/>
          <w:bCs w:val="0"/>
          <w:color w:val="auto"/>
          <w:sz w:val="44"/>
          <w:szCs w:val="44"/>
          <w:highlight w:val="none"/>
        </w:rPr>
        <w:t>（湖南）</w:t>
      </w:r>
    </w:p>
    <w:p>
      <w:pPr>
        <w:keepNext w:val="0"/>
        <w:keepLines w:val="0"/>
        <w:pageBreakBefore w:val="0"/>
        <w:widowControl w:val="0"/>
        <w:kinsoku/>
        <w:wordWrap/>
        <w:overflowPunct/>
        <w:topLinePunct w:val="0"/>
        <w:autoSpaceDE/>
        <w:autoSpaceDN/>
        <w:bidi w:val="0"/>
        <w:adjustRightInd/>
        <w:snapToGrid/>
        <w:spacing w:before="0" w:line="576" w:lineRule="exact"/>
        <w:ind w:left="0" w:leftChars="0"/>
        <w:jc w:val="center"/>
        <w:textAlignment w:val="auto"/>
        <w:outlineLvl w:val="0"/>
        <w:rPr>
          <w:rFonts w:hint="default" w:ascii="Nimbus Roman" w:hAnsi="Nimbus Roman" w:eastAsia="方正小标宋简体" w:cs="Nimbus Roman"/>
          <w:b w:val="0"/>
          <w:bCs w:val="0"/>
          <w:color w:val="auto"/>
          <w:sz w:val="44"/>
          <w:szCs w:val="44"/>
          <w:highlight w:val="none"/>
        </w:rPr>
      </w:pPr>
      <w:r>
        <w:rPr>
          <w:rFonts w:hint="default" w:ascii="Nimbus Roman" w:hAnsi="Nimbus Roman" w:eastAsia="方正小标宋简体" w:cs="Nimbus Roman"/>
          <w:b w:val="0"/>
          <w:bCs w:val="0"/>
          <w:color w:val="auto"/>
          <w:sz w:val="44"/>
          <w:szCs w:val="44"/>
          <w:highlight w:val="none"/>
        </w:rPr>
        <w:t>集中带量采购文件</w:t>
      </w:r>
      <w:bookmarkEnd w:id="3"/>
      <w:bookmarkEnd w:id="4"/>
      <w:bookmarkEnd w:id="5"/>
    </w:p>
    <w:p>
      <w:pPr>
        <w:pStyle w:val="6"/>
        <w:jc w:val="center"/>
        <w:rPr>
          <w:rFonts w:hint="default" w:ascii="Nimbus Roman" w:hAnsi="Nimbus Roman" w:eastAsia="楷体_GB2312" w:cs="Nimbus Roman"/>
          <w:color w:val="auto"/>
          <w:sz w:val="32"/>
          <w:szCs w:val="32"/>
          <w:lang w:eastAsia="zh-CN"/>
        </w:rPr>
      </w:pPr>
      <w:r>
        <w:rPr>
          <w:rFonts w:hint="default" w:ascii="Nimbus Roman" w:hAnsi="Nimbus Roman" w:eastAsia="楷体_GB2312" w:cs="Nimbus Roman"/>
          <w:b w:val="0"/>
          <w:bCs w:val="0"/>
          <w:color w:val="auto"/>
          <w:sz w:val="32"/>
          <w:szCs w:val="32"/>
          <w:highlight w:val="none"/>
          <w:lang w:eastAsia="zh-CN"/>
        </w:rPr>
        <w:t>（征求意见稿）</w:t>
      </w:r>
    </w:p>
    <w:p>
      <w:pPr>
        <w:keepNext w:val="0"/>
        <w:keepLines w:val="0"/>
        <w:pageBreakBefore w:val="0"/>
        <w:widowControl w:val="0"/>
        <w:kinsoku/>
        <w:wordWrap/>
        <w:overflowPunct/>
        <w:topLinePunct w:val="0"/>
        <w:autoSpaceDE/>
        <w:autoSpaceDN/>
        <w:bidi w:val="0"/>
        <w:adjustRightInd/>
        <w:snapToGrid/>
        <w:spacing w:before="0" w:line="576" w:lineRule="exact"/>
        <w:ind w:left="0" w:leftChars="0"/>
        <w:jc w:val="both"/>
        <w:textAlignment w:val="auto"/>
        <w:outlineLvl w:val="9"/>
        <w:rPr>
          <w:rFonts w:hint="default" w:ascii="Nimbus Roman" w:hAnsi="Nimbus Roman" w:eastAsia="方正小标宋简体" w:cs="Nimbus Roman"/>
          <w:b w:val="0"/>
          <w:bCs w:val="0"/>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before="0" w:line="576" w:lineRule="exact"/>
        <w:ind w:left="0" w:leftChars="0"/>
        <w:jc w:val="both"/>
        <w:textAlignment w:val="auto"/>
        <w:outlineLvl w:val="9"/>
        <w:rPr>
          <w:rFonts w:hint="default" w:ascii="Nimbus Roman" w:hAnsi="Nimbus Roman" w:eastAsia="方正小标宋简体" w:cs="Nimbus Roman"/>
          <w:b w:val="0"/>
          <w:bCs w:val="0"/>
          <w:color w:val="auto"/>
          <w:sz w:val="44"/>
          <w:szCs w:val="44"/>
          <w:highlight w:val="none"/>
        </w:rPr>
      </w:pPr>
    </w:p>
    <w:p>
      <w:pPr>
        <w:keepNext w:val="0"/>
        <w:keepLines w:val="0"/>
        <w:pageBreakBefore w:val="0"/>
        <w:widowControl w:val="0"/>
        <w:kinsoku/>
        <w:wordWrap/>
        <w:overflowPunct/>
        <w:topLinePunct w:val="0"/>
        <w:autoSpaceDE w:val="0"/>
        <w:autoSpaceDN w:val="0"/>
        <w:bidi w:val="0"/>
        <w:adjustRightInd/>
        <w:snapToGrid/>
        <w:spacing w:before="0" w:line="576" w:lineRule="exact"/>
        <w:ind w:right="1192"/>
        <w:jc w:val="both"/>
        <w:textAlignment w:val="auto"/>
        <w:outlineLvl w:val="9"/>
        <w:rPr>
          <w:rFonts w:hint="default" w:ascii="Nimbus Roman" w:hAnsi="Nimbus Roman" w:eastAsia="方正小标宋简体" w:cs="Nimbus Roman"/>
          <w:b w:val="0"/>
          <w:bCs w:val="0"/>
          <w:color w:val="auto"/>
          <w:w w:val="95"/>
          <w:sz w:val="32"/>
          <w:szCs w:val="32"/>
          <w:highlight w:val="none"/>
        </w:rPr>
      </w:pPr>
    </w:p>
    <w:p>
      <w:pPr>
        <w:keepNext w:val="0"/>
        <w:keepLines w:val="0"/>
        <w:pageBreakBefore w:val="0"/>
        <w:widowControl w:val="0"/>
        <w:kinsoku/>
        <w:wordWrap/>
        <w:overflowPunct/>
        <w:topLinePunct w:val="0"/>
        <w:autoSpaceDE w:val="0"/>
        <w:autoSpaceDN w:val="0"/>
        <w:bidi w:val="0"/>
        <w:adjustRightInd/>
        <w:snapToGrid/>
        <w:spacing w:before="0" w:line="576" w:lineRule="exact"/>
        <w:ind w:right="1192"/>
        <w:jc w:val="both"/>
        <w:textAlignment w:val="auto"/>
        <w:outlineLvl w:val="9"/>
        <w:rPr>
          <w:rFonts w:hint="default" w:ascii="Nimbus Roman" w:hAnsi="Nimbus Roman" w:eastAsia="方正小标宋简体" w:cs="Nimbus Roman"/>
          <w:b w:val="0"/>
          <w:bCs w:val="0"/>
          <w:color w:val="auto"/>
          <w:w w:val="95"/>
          <w:sz w:val="32"/>
          <w:szCs w:val="32"/>
          <w:highlight w:val="none"/>
        </w:rPr>
      </w:pPr>
    </w:p>
    <w:p>
      <w:pPr>
        <w:pStyle w:val="10"/>
        <w:keepNext w:val="0"/>
        <w:keepLines w:val="0"/>
        <w:pageBreakBefore w:val="0"/>
        <w:widowControl w:val="0"/>
        <w:kinsoku/>
        <w:wordWrap/>
        <w:overflowPunct/>
        <w:topLinePunct w:val="0"/>
        <w:bidi w:val="0"/>
        <w:adjustRightInd/>
        <w:spacing w:before="0" w:line="576" w:lineRule="exact"/>
        <w:jc w:val="both"/>
        <w:textAlignment w:val="auto"/>
        <w:outlineLvl w:val="9"/>
        <w:rPr>
          <w:rFonts w:hint="default" w:ascii="Nimbus Roman" w:hAnsi="Nimbus Roman" w:cs="Nimbus Roman"/>
          <w:color w:val="auto"/>
          <w:highlight w:val="none"/>
        </w:rPr>
      </w:pPr>
    </w:p>
    <w:p>
      <w:pPr>
        <w:pStyle w:val="8"/>
        <w:keepNext w:val="0"/>
        <w:keepLines w:val="0"/>
        <w:pageBreakBefore w:val="0"/>
        <w:widowControl w:val="0"/>
        <w:kinsoku/>
        <w:wordWrap/>
        <w:overflowPunct/>
        <w:topLinePunct w:val="0"/>
        <w:bidi w:val="0"/>
        <w:adjustRightInd/>
        <w:spacing w:before="0" w:line="576" w:lineRule="exact"/>
        <w:ind w:right="1188"/>
        <w:jc w:val="both"/>
        <w:textAlignment w:val="auto"/>
        <w:outlineLvl w:val="9"/>
        <w:rPr>
          <w:rFonts w:hint="default" w:ascii="Nimbus Roman" w:hAnsi="Nimbus Roman" w:eastAsia="方正小标宋简体" w:cs="Nimbus Roman"/>
          <w:b w:val="0"/>
          <w:bCs w:val="0"/>
          <w:color w:val="auto"/>
          <w:highlight w:val="none"/>
        </w:rPr>
      </w:pPr>
      <w:bookmarkStart w:id="6" w:name="_Toc21571"/>
      <w:bookmarkStart w:id="7" w:name="_Toc1107"/>
      <w:bookmarkStart w:id="8" w:name="_Toc23941"/>
      <w:bookmarkStart w:id="9" w:name="_Toc28875"/>
      <w:bookmarkStart w:id="10" w:name="_Toc10393"/>
    </w:p>
    <w:p>
      <w:pPr>
        <w:pStyle w:val="8"/>
        <w:keepNext w:val="0"/>
        <w:keepLines w:val="0"/>
        <w:pageBreakBefore w:val="0"/>
        <w:widowControl w:val="0"/>
        <w:kinsoku/>
        <w:wordWrap/>
        <w:overflowPunct/>
        <w:topLinePunct w:val="0"/>
        <w:bidi w:val="0"/>
        <w:adjustRightInd/>
        <w:spacing w:before="0" w:line="240" w:lineRule="auto"/>
        <w:ind w:right="0"/>
        <w:jc w:val="center"/>
        <w:textAlignment w:val="auto"/>
        <w:outlineLvl w:val="0"/>
        <w:rPr>
          <w:rFonts w:hint="default" w:ascii="Nimbus Roman" w:hAnsi="Nimbus Roman" w:eastAsia="方正小标宋简体" w:cs="Nimbus Roman"/>
          <w:b w:val="0"/>
          <w:bCs w:val="0"/>
          <w:color w:val="auto"/>
          <w:highlight w:val="none"/>
          <w:lang w:val="en-US"/>
        </w:rPr>
      </w:pPr>
      <w:bookmarkStart w:id="11" w:name="_Toc28853"/>
      <w:bookmarkStart w:id="12" w:name="_Toc12344"/>
      <w:r>
        <w:rPr>
          <w:rFonts w:hint="default" w:ascii="Nimbus Roman" w:hAnsi="Nimbus Roman" w:eastAsia="方正小标宋简体" w:cs="Nimbus Roman"/>
          <w:b w:val="0"/>
          <w:bCs w:val="0"/>
          <w:color w:val="auto"/>
          <w:highlight w:val="none"/>
        </w:rPr>
        <w:t>采购文件编号：</w:t>
      </w:r>
      <w:r>
        <w:rPr>
          <w:rFonts w:hint="default" w:ascii="Nimbus Roman" w:hAnsi="Nimbus Roman" w:eastAsia="方正小标宋简体" w:cs="Nimbus Roman"/>
          <w:b w:val="0"/>
          <w:bCs w:val="0"/>
          <w:color w:val="auto"/>
          <w:highlight w:val="none"/>
          <w:lang w:val="en-US" w:eastAsia="zh-CN"/>
        </w:rPr>
        <w:t>HNLM-HCDL2026-</w:t>
      </w:r>
      <w:bookmarkEnd w:id="6"/>
      <w:bookmarkEnd w:id="7"/>
      <w:bookmarkEnd w:id="8"/>
      <w:r>
        <w:rPr>
          <w:rFonts w:hint="default" w:ascii="Nimbus Roman" w:hAnsi="Nimbus Roman" w:eastAsia="方正小标宋简体" w:cs="Nimbus Roman"/>
          <w:b w:val="0"/>
          <w:bCs w:val="0"/>
          <w:color w:val="auto"/>
          <w:highlight w:val="none"/>
          <w:lang w:val="en-US" w:eastAsia="zh-CN"/>
        </w:rPr>
        <w:t>1</w:t>
      </w:r>
      <w:bookmarkEnd w:id="9"/>
      <w:bookmarkEnd w:id="10"/>
      <w:bookmarkEnd w:id="11"/>
      <w:bookmarkEnd w:id="12"/>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right="3214"/>
        <w:jc w:val="both"/>
        <w:textAlignment w:val="auto"/>
        <w:outlineLvl w:val="9"/>
        <w:rPr>
          <w:rFonts w:hint="default" w:ascii="Nimbus Roman" w:hAnsi="Nimbus Roman" w:eastAsia="方正小标宋简体" w:cs="Nimbus Roman"/>
          <w:b w:val="0"/>
          <w:bCs w:val="0"/>
          <w:color w:val="auto"/>
          <w:highlight w:val="none"/>
          <w:lang w:val="en-US" w:eastAsia="zh-CN"/>
        </w:rPr>
      </w:pPr>
      <w:bookmarkStart w:id="13" w:name="一、采购品种及约定采购量"/>
      <w:bookmarkEnd w:id="13"/>
      <w:bookmarkStart w:id="14" w:name="二、申报资格"/>
      <w:bookmarkEnd w:id="14"/>
      <w:bookmarkStart w:id="15" w:name="第一部分 采购邀请"/>
      <w:bookmarkEnd w:id="15"/>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right="3214"/>
        <w:jc w:val="both"/>
        <w:textAlignment w:val="auto"/>
        <w:outlineLvl w:val="9"/>
        <w:rPr>
          <w:rFonts w:hint="default" w:ascii="Nimbus Roman" w:hAnsi="Nimbus Roman" w:eastAsia="方正小标宋简体" w:cs="Nimbus Roman"/>
          <w:b w:val="0"/>
          <w:bCs w:val="0"/>
          <w:color w:val="auto"/>
          <w:highlight w:val="none"/>
          <w:lang w:val="en-US" w:eastAsia="zh-CN"/>
        </w:rPr>
      </w:pP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0" w:right="0"/>
        <w:jc w:val="both"/>
        <w:textAlignment w:val="auto"/>
        <w:outlineLvl w:val="9"/>
        <w:rPr>
          <w:rFonts w:hint="default" w:ascii="Nimbus Roman" w:hAnsi="Nimbus Roman" w:eastAsia="方正小标宋简体" w:cs="Nimbus Roman"/>
          <w:b w:val="0"/>
          <w:bCs w:val="0"/>
          <w:color w:val="auto"/>
          <w:highlight w:val="none"/>
          <w:lang w:val="en-US" w:eastAsia="zh-CN"/>
        </w:rPr>
      </w:pPr>
      <w:bookmarkStart w:id="16" w:name="_Toc7804"/>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0" w:right="0"/>
        <w:jc w:val="both"/>
        <w:textAlignment w:val="auto"/>
        <w:outlineLvl w:val="9"/>
        <w:rPr>
          <w:rFonts w:hint="default" w:ascii="Nimbus Roman" w:hAnsi="Nimbus Roman" w:eastAsia="方正小标宋简体" w:cs="Nimbus Roman"/>
          <w:b w:val="0"/>
          <w:bCs w:val="0"/>
          <w:color w:val="auto"/>
          <w:highlight w:val="none"/>
          <w:lang w:val="en-US" w:eastAsia="zh-CN"/>
        </w:rPr>
      </w:pP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0" w:right="0"/>
        <w:jc w:val="both"/>
        <w:textAlignment w:val="auto"/>
        <w:outlineLvl w:val="9"/>
        <w:rPr>
          <w:rFonts w:hint="default" w:ascii="Nimbus Roman" w:hAnsi="Nimbus Roman" w:eastAsia="方正小标宋简体" w:cs="Nimbus Roman"/>
          <w:b w:val="0"/>
          <w:bCs w:val="0"/>
          <w:color w:val="auto"/>
          <w:highlight w:val="none"/>
          <w:lang w:val="en-US" w:eastAsia="zh-CN"/>
        </w:rPr>
      </w:pP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0" w:right="0"/>
        <w:jc w:val="both"/>
        <w:textAlignment w:val="auto"/>
        <w:outlineLvl w:val="9"/>
        <w:rPr>
          <w:rFonts w:hint="default" w:ascii="Nimbus Roman" w:hAnsi="Nimbus Roman" w:eastAsia="方正小标宋简体" w:cs="Nimbus Roman"/>
          <w:b w:val="0"/>
          <w:bCs w:val="0"/>
          <w:color w:val="auto"/>
          <w:highlight w:val="none"/>
          <w:lang w:val="en-US" w:eastAsia="zh-CN"/>
        </w:rPr>
      </w:pP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0" w:right="0"/>
        <w:jc w:val="center"/>
        <w:textAlignment w:val="auto"/>
        <w:outlineLvl w:val="0"/>
        <w:rPr>
          <w:rFonts w:hint="default" w:ascii="Nimbus Roman" w:hAnsi="Nimbus Roman" w:eastAsia="方正小标宋简体" w:cs="Nimbus Roman"/>
          <w:b w:val="0"/>
          <w:bCs w:val="0"/>
          <w:color w:val="auto"/>
          <w:highlight w:val="none"/>
          <w:lang w:val="en-US" w:eastAsia="zh-CN"/>
        </w:rPr>
      </w:pPr>
      <w:bookmarkStart w:id="17" w:name="_Toc28771"/>
      <w:bookmarkStart w:id="18" w:name="_Toc30016"/>
      <w:bookmarkStart w:id="19" w:name="_Toc7055"/>
      <w:bookmarkStart w:id="20" w:name="_Toc15093"/>
      <w:bookmarkStart w:id="21" w:name="_Toc22434"/>
      <w:bookmarkStart w:id="22" w:name="_Toc6296"/>
      <w:r>
        <w:rPr>
          <w:rFonts w:hint="default" w:ascii="Nimbus Roman" w:hAnsi="Nimbus Roman" w:eastAsia="方正小标宋简体" w:cs="Nimbus Roman"/>
          <w:b w:val="0"/>
          <w:bCs w:val="0"/>
          <w:color w:val="auto"/>
          <w:highlight w:val="none"/>
          <w:lang w:val="en-US" w:eastAsia="zh-CN"/>
        </w:rPr>
        <w:t>呼吸介入类医用耗材省际联盟（湖南）</w:t>
      </w:r>
      <w:bookmarkEnd w:id="17"/>
      <w:bookmarkEnd w:id="18"/>
      <w:bookmarkEnd w:id="19"/>
      <w:bookmarkEnd w:id="20"/>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0" w:right="0"/>
        <w:jc w:val="center"/>
        <w:textAlignment w:val="auto"/>
        <w:outlineLvl w:val="0"/>
        <w:rPr>
          <w:rFonts w:hint="default" w:ascii="Nimbus Roman" w:hAnsi="Nimbus Roman" w:eastAsia="方正小标宋简体" w:cs="Nimbus Roman"/>
          <w:b w:val="0"/>
          <w:bCs w:val="0"/>
          <w:color w:val="auto"/>
          <w:highlight w:val="none"/>
          <w:lang w:val="en-US" w:eastAsia="zh-CN"/>
        </w:rPr>
      </w:pPr>
      <w:bookmarkStart w:id="23" w:name="_Toc8736"/>
      <w:bookmarkStart w:id="24" w:name="_Toc16815"/>
      <w:bookmarkStart w:id="25" w:name="_Toc3942"/>
      <w:bookmarkStart w:id="26" w:name="_Toc26481"/>
      <w:r>
        <w:rPr>
          <w:rFonts w:hint="default" w:ascii="Nimbus Roman" w:hAnsi="Nimbus Roman" w:eastAsia="方正小标宋简体" w:cs="Nimbus Roman"/>
          <w:b w:val="0"/>
          <w:bCs w:val="0"/>
          <w:color w:val="auto"/>
          <w:highlight w:val="none"/>
          <w:lang w:val="en-US" w:eastAsia="zh-CN"/>
        </w:rPr>
        <w:t>集中带量采购联盟采购办公室</w:t>
      </w:r>
      <w:bookmarkEnd w:id="16"/>
      <w:bookmarkEnd w:id="21"/>
      <w:bookmarkEnd w:id="22"/>
      <w:bookmarkEnd w:id="23"/>
      <w:bookmarkEnd w:id="24"/>
      <w:bookmarkEnd w:id="25"/>
      <w:bookmarkEnd w:id="26"/>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left="2891" w:right="3214"/>
        <w:jc w:val="center"/>
        <w:textAlignment w:val="auto"/>
        <w:outlineLvl w:val="9"/>
        <w:rPr>
          <w:rFonts w:hint="default" w:ascii="Nimbus Roman" w:hAnsi="Nimbus Roman" w:eastAsia="方正小标宋简体" w:cs="Nimbus Roman"/>
          <w:b w:val="0"/>
          <w:bCs w:val="0"/>
          <w:color w:val="auto"/>
          <w:highlight w:val="none"/>
        </w:rPr>
        <w:sectPr>
          <w:pgSz w:w="11910" w:h="16840"/>
          <w:pgMar w:top="2098" w:right="1531" w:bottom="1984" w:left="1531" w:header="720" w:footer="720" w:gutter="0"/>
          <w:pgNumType w:fmt="decimal"/>
          <w:cols w:space="0" w:num="1"/>
          <w:rtlGutter w:val="0"/>
          <w:docGrid w:linePitch="0" w:charSpace="0"/>
        </w:sectPr>
      </w:pPr>
      <w:r>
        <w:rPr>
          <w:rFonts w:hint="default" w:ascii="Nimbus Roman" w:hAnsi="Nimbus Roman" w:eastAsia="方正小标宋简体" w:cs="Nimbus Roman"/>
          <w:b w:val="0"/>
          <w:bCs w:val="0"/>
          <w:color w:val="auto"/>
          <w:highlight w:val="none"/>
        </w:rPr>
        <w:t>202</w:t>
      </w:r>
      <w:r>
        <w:rPr>
          <w:rFonts w:hint="default" w:ascii="Nimbus Roman" w:hAnsi="Nimbus Roman" w:eastAsia="方正小标宋简体" w:cs="Nimbus Roman"/>
          <w:b w:val="0"/>
          <w:bCs w:val="0"/>
          <w:color w:val="auto"/>
          <w:highlight w:val="none"/>
          <w:lang w:val="en-US" w:eastAsia="zh-CN"/>
        </w:rPr>
        <w:t>6</w:t>
      </w:r>
      <w:r>
        <w:rPr>
          <w:rFonts w:hint="default" w:ascii="Nimbus Roman" w:hAnsi="Nimbus Roman" w:eastAsia="方正小标宋简体" w:cs="Nimbus Roman"/>
          <w:b w:val="0"/>
          <w:bCs w:val="0"/>
          <w:color w:val="auto"/>
          <w:highlight w:val="none"/>
        </w:rPr>
        <w:t>年</w:t>
      </w:r>
      <w:r>
        <w:rPr>
          <w:rFonts w:hint="default" w:ascii="Nimbus Roman" w:hAnsi="Nimbus Roman" w:eastAsia="方正小标宋简体" w:cs="Nimbus Roman"/>
          <w:b w:val="0"/>
          <w:bCs w:val="0"/>
          <w:color w:val="auto"/>
          <w:highlight w:val="none"/>
          <w:lang w:val="en-US" w:eastAsia="zh-CN"/>
        </w:rPr>
        <w:t>9</w:t>
      </w:r>
      <w:r>
        <w:rPr>
          <w:rFonts w:hint="default" w:ascii="Nimbus Roman" w:hAnsi="Nimbus Roman" w:eastAsia="方正小标宋简体" w:cs="Nimbus Roman"/>
          <w:b w:val="0"/>
          <w:bCs w:val="0"/>
          <w:color w:val="auto"/>
          <w:highlight w:val="none"/>
        </w:rPr>
        <w:t>月</w:t>
      </w:r>
    </w:p>
    <w:sdt>
      <w:sdtPr>
        <w:rPr>
          <w:rFonts w:hint="default" w:ascii="Nimbus Roman" w:hAnsi="Nimbus Roman" w:eastAsia="宋体" w:cs="Nimbus Roman"/>
          <w:color w:val="auto"/>
          <w:sz w:val="21"/>
          <w:szCs w:val="32"/>
          <w:lang w:val="zh-CN" w:eastAsia="zh-CN" w:bidi="zh-CN"/>
        </w:rPr>
        <w:id w:val="147475109"/>
        <w:showingPlcHdr/>
        <w15:color w:val="DBDBDB"/>
        <w:docPartObj>
          <w:docPartGallery w:val="Table of Contents"/>
          <w:docPartUnique/>
        </w:docPartObj>
      </w:sdtPr>
      <w:sdtEndPr>
        <w:rPr>
          <w:rFonts w:hint="default" w:ascii="Nimbus Roman" w:hAnsi="Nimbus Roman" w:eastAsia="方正小标宋简体" w:cs="Nimbus Roman"/>
          <w:color w:val="auto"/>
          <w:sz w:val="32"/>
          <w:szCs w:val="44"/>
          <w:highlight w:val="none"/>
          <w:lang w:val="en-US" w:eastAsia="zh-CN" w:bidi="zh-CN"/>
        </w:rPr>
      </w:sdtEndPr>
      <w:sdtContent>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32"/>
              <w:szCs w:val="44"/>
              <w:highlight w:val="none"/>
              <w:lang w:val="en-US" w:eastAsia="zh-CN" w:bidi="zh-CN"/>
            </w:rPr>
          </w:pPr>
          <w:r>
            <w:rPr>
              <w:rFonts w:hint="default" w:ascii="Nimbus Roman" w:hAnsi="Nimbus Roman" w:eastAsia="宋体" w:cs="Nimbus Roman"/>
              <w:color w:val="auto"/>
              <w:sz w:val="21"/>
              <w:szCs w:val="32"/>
              <w:lang w:val="zh-CN" w:eastAsia="zh-CN" w:bidi="zh-CN"/>
            </w:rPr>
            <w:t xml:space="preserve">     </w:t>
          </w:r>
        </w:p>
      </w:sdtContent>
    </w:sdt>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32"/>
          <w:szCs w:val="44"/>
          <w:highlight w:val="none"/>
          <w:lang w:val="en-US" w:eastAsia="zh-CN" w:bidi="zh-CN"/>
        </w:rPr>
      </w:pPr>
    </w:p>
    <w:p>
      <w:pPr>
        <w:pStyle w:val="10"/>
        <w:keepNext w:val="0"/>
        <w:keepLines w:val="0"/>
        <w:pageBreakBefore w:val="0"/>
        <w:kinsoku/>
        <w:wordWrap/>
        <w:overflowPunct/>
        <w:topLinePunct w:val="0"/>
        <w:bidi w:val="0"/>
        <w:adjustRightInd/>
        <w:spacing w:line="576" w:lineRule="exact"/>
        <w:jc w:val="both"/>
        <w:rPr>
          <w:rFonts w:hint="default" w:ascii="Nimbus Roman" w:hAnsi="Nimbus Roman" w:eastAsia="方正小标宋简体" w:cs="Nimbus Roman"/>
          <w:color w:val="auto"/>
          <w:sz w:val="44"/>
          <w:szCs w:val="44"/>
          <w:highlight w:val="none"/>
          <w:lang w:val="en-US" w:eastAsia="zh-CN"/>
        </w:rPr>
      </w:pPr>
    </w:p>
    <w:p>
      <w:pPr>
        <w:pStyle w:val="5"/>
        <w:keepNext w:val="0"/>
        <w:keepLines w:val="0"/>
        <w:pageBreakBefore w:val="0"/>
        <w:kinsoku/>
        <w:wordWrap/>
        <w:overflowPunct/>
        <w:topLinePunct w:val="0"/>
        <w:bidi w:val="0"/>
        <w:adjustRightInd/>
        <w:spacing w:line="576" w:lineRule="exact"/>
        <w:jc w:val="both"/>
        <w:rPr>
          <w:rFonts w:hint="default" w:ascii="Nimbus Roman" w:hAnsi="Nimbus Roman" w:eastAsia="方正小标宋简体" w:cs="Nimbus Roman"/>
          <w:color w:val="auto"/>
          <w:sz w:val="44"/>
          <w:szCs w:val="44"/>
          <w:highlight w:val="none"/>
          <w:lang w:val="en-US" w:eastAsia="zh-CN"/>
        </w:rPr>
      </w:pPr>
    </w:p>
    <w:p>
      <w:pPr>
        <w:keepNext w:val="0"/>
        <w:keepLines w:val="0"/>
        <w:pageBreakBefore w:val="0"/>
        <w:kinsoku/>
        <w:wordWrap/>
        <w:overflowPunct/>
        <w:topLinePunct w:val="0"/>
        <w:bidi w:val="0"/>
        <w:adjustRightInd/>
        <w:spacing w:line="576" w:lineRule="exact"/>
        <w:jc w:val="both"/>
        <w:rPr>
          <w:rFonts w:hint="default" w:ascii="Nimbus Roman" w:hAnsi="Nimbus Roman" w:eastAsia="方正小标宋简体" w:cs="Nimbus Roman"/>
          <w:color w:val="auto"/>
          <w:sz w:val="44"/>
          <w:szCs w:val="44"/>
          <w:highlight w:val="none"/>
          <w:lang w:val="en-US" w:eastAsia="zh-CN"/>
        </w:rPr>
      </w:pPr>
    </w:p>
    <w:p>
      <w:pPr>
        <w:pStyle w:val="10"/>
        <w:keepNext w:val="0"/>
        <w:keepLines w:val="0"/>
        <w:pageBreakBefore w:val="0"/>
        <w:kinsoku/>
        <w:wordWrap/>
        <w:overflowPunct/>
        <w:topLinePunct w:val="0"/>
        <w:bidi w:val="0"/>
        <w:adjustRightInd/>
        <w:spacing w:line="576" w:lineRule="exact"/>
        <w:jc w:val="both"/>
        <w:rPr>
          <w:rFonts w:hint="default" w:ascii="Nimbus Roman" w:hAnsi="Nimbus Roman" w:cs="Nimbus Roman"/>
          <w:color w:val="auto"/>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sectPr>
          <w:footerReference r:id="rId5" w:type="default"/>
          <w:pgSz w:w="11910" w:h="16840"/>
          <w:pgMar w:top="2098" w:right="1531" w:bottom="1984" w:left="1531" w:header="720" w:footer="720" w:gutter="0"/>
          <w:pgNumType w:fmt="decimal" w:start="1"/>
          <w:cols w:space="0" w:num="1"/>
          <w:rtlGutter w:val="0"/>
          <w:docGrid w:linePitch="0" w:charSpace="0"/>
        </w:sect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both"/>
        <w:textAlignment w:val="auto"/>
        <w:rPr>
          <w:rFonts w:hint="default" w:ascii="Nimbus Roman" w:hAnsi="Nimbus Roman" w:eastAsia="方正小标宋简体" w:cs="Nimbus Roman"/>
          <w:color w:val="auto"/>
          <w:sz w:val="44"/>
          <w:szCs w:val="44"/>
          <w:highlight w:val="none"/>
          <w:lang w:val="en-US" w:eastAsia="zh-CN"/>
        </w:rPr>
      </w:pPr>
    </w:p>
    <w:p>
      <w:pPr>
        <w:keepNext w:val="0"/>
        <w:keepLines w:val="0"/>
        <w:pageBreakBefore w:val="0"/>
        <w:widowControl w:val="0"/>
        <w:numPr>
          <w:ilvl w:val="0"/>
          <w:numId w:val="0"/>
        </w:numPr>
        <w:kinsoku/>
        <w:wordWrap/>
        <w:overflowPunct/>
        <w:topLinePunct w:val="0"/>
        <w:bidi w:val="0"/>
        <w:adjustRightInd/>
        <w:spacing w:before="0" w:line="576" w:lineRule="exact"/>
        <w:ind w:right="0" w:rightChars="0"/>
        <w:jc w:val="center"/>
        <w:textAlignment w:val="auto"/>
        <w:outlineLvl w:val="0"/>
        <w:rPr>
          <w:rFonts w:hint="default" w:ascii="Nimbus Roman" w:hAnsi="Nimbus Roman" w:eastAsia="方正小标宋简体" w:cs="Nimbus Roman"/>
          <w:color w:val="auto"/>
          <w:sz w:val="44"/>
          <w:szCs w:val="44"/>
          <w:highlight w:val="none"/>
        </w:rPr>
      </w:pPr>
      <w:bookmarkStart w:id="27" w:name="_Toc727"/>
      <w:bookmarkStart w:id="28" w:name="_Toc8466"/>
      <w:bookmarkStart w:id="29" w:name="_Toc10360"/>
      <w:bookmarkStart w:id="30" w:name="_Toc29983"/>
      <w:r>
        <w:rPr>
          <w:rFonts w:hint="default" w:ascii="Nimbus Roman" w:hAnsi="Nimbus Roman" w:eastAsia="方正小标宋简体" w:cs="Nimbus Roman"/>
          <w:color w:val="auto"/>
          <w:sz w:val="44"/>
          <w:szCs w:val="44"/>
          <w:highlight w:val="none"/>
          <w:lang w:val="en-US" w:eastAsia="zh-CN"/>
        </w:rPr>
        <w:t xml:space="preserve">第一部分    </w:t>
      </w:r>
      <w:r>
        <w:rPr>
          <w:rFonts w:hint="default" w:ascii="Nimbus Roman" w:hAnsi="Nimbus Roman" w:eastAsia="方正小标宋简体" w:cs="Nimbus Roman"/>
          <w:color w:val="auto"/>
          <w:sz w:val="44"/>
          <w:szCs w:val="44"/>
          <w:highlight w:val="none"/>
        </w:rPr>
        <w:t>采购邀请</w:t>
      </w:r>
      <w:bookmarkEnd w:id="27"/>
      <w:bookmarkEnd w:id="28"/>
      <w:bookmarkEnd w:id="29"/>
      <w:bookmarkEnd w:id="30"/>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bookmarkStart w:id="31" w:name="_Toc15271"/>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p>
      <w:pPr>
        <w:keepNext w:val="0"/>
        <w:keepLines w:val="0"/>
        <w:pageBreakBefore w:val="0"/>
        <w:widowControl w:val="0"/>
        <w:kinsoku/>
        <w:wordWrap/>
        <w:overflowPunct/>
        <w:topLinePunct w:val="0"/>
        <w:bidi w:val="0"/>
        <w:adjustRightInd/>
        <w:spacing w:before="0" w:line="576" w:lineRule="exact"/>
        <w:jc w:val="both"/>
        <w:textAlignment w:val="auto"/>
        <w:rPr>
          <w:rFonts w:hint="default" w:ascii="Nimbus Roman" w:hAnsi="Nimbus Roman" w:eastAsia="方正小标宋简体" w:cs="Nimbus Roman"/>
          <w:b w:val="0"/>
          <w:bCs w:val="0"/>
          <w:color w:val="auto"/>
          <w:sz w:val="36"/>
          <w:szCs w:val="36"/>
          <w:highlight w:val="none"/>
        </w:rPr>
      </w:pPr>
    </w:p>
    <w:bookmarkEnd w:id="31"/>
    <w:p>
      <w:pPr>
        <w:keepNext w:val="0"/>
        <w:keepLines w:val="0"/>
        <w:pageBreakBefore w:val="0"/>
        <w:widowControl w:val="0"/>
        <w:kinsoku/>
        <w:wordWrap/>
        <w:overflowPunct/>
        <w:topLinePunct w:val="0"/>
        <w:autoSpaceDE w:val="0"/>
        <w:autoSpaceDN w:val="0"/>
        <w:bidi w:val="0"/>
        <w:adjustRightInd/>
        <w:snapToGrid/>
        <w:spacing w:before="0" w:line="576" w:lineRule="exact"/>
        <w:jc w:val="both"/>
        <w:textAlignment w:val="auto"/>
        <w:outlineLvl w:val="9"/>
        <w:rPr>
          <w:rFonts w:hint="default" w:ascii="Nimbus Roman" w:hAnsi="Nimbus Roman" w:eastAsia="方正小标宋简体" w:cs="Nimbus Roman"/>
          <w:b w:val="0"/>
          <w:bCs w:val="0"/>
          <w:color w:val="auto"/>
          <w:sz w:val="44"/>
          <w:szCs w:val="44"/>
          <w:highlight w:val="none"/>
          <w:lang w:eastAsia="zh-CN"/>
        </w:rPr>
      </w:pPr>
      <w:bookmarkStart w:id="32" w:name="_Toc16438"/>
      <w:bookmarkStart w:id="33" w:name="_Toc980"/>
    </w:p>
    <w:bookmarkEnd w:id="32"/>
    <w:p>
      <w:pPr>
        <w:keepNext w:val="0"/>
        <w:keepLines w:val="0"/>
        <w:pageBreakBefore w:val="0"/>
        <w:widowControl w:val="0"/>
        <w:kinsoku/>
        <w:wordWrap/>
        <w:overflowPunct/>
        <w:topLinePunct w:val="0"/>
        <w:autoSpaceDE w:val="0"/>
        <w:autoSpaceDN w:val="0"/>
        <w:bidi w:val="0"/>
        <w:adjustRightInd/>
        <w:snapToGrid/>
        <w:spacing w:before="0" w:line="576" w:lineRule="exact"/>
        <w:jc w:val="both"/>
        <w:textAlignment w:val="auto"/>
        <w:outlineLvl w:val="9"/>
        <w:rPr>
          <w:rFonts w:hint="default" w:ascii="Nimbus Roman" w:hAnsi="Nimbus Roman" w:eastAsia="方正小标宋简体" w:cs="Nimbus Roman"/>
          <w:b w:val="0"/>
          <w:bCs w:val="0"/>
          <w:color w:val="auto"/>
          <w:sz w:val="44"/>
          <w:szCs w:val="44"/>
          <w:highlight w:val="none"/>
          <w:lang w:eastAsia="zh-CN"/>
        </w:rPr>
      </w:pPr>
    </w:p>
    <w:p>
      <w:pPr>
        <w:keepNext w:val="0"/>
        <w:keepLines w:val="0"/>
        <w:pageBreakBefore w:val="0"/>
        <w:widowControl w:val="0"/>
        <w:kinsoku/>
        <w:wordWrap/>
        <w:overflowPunct/>
        <w:topLinePunct w:val="0"/>
        <w:autoSpaceDE w:val="0"/>
        <w:autoSpaceDN w:val="0"/>
        <w:bidi w:val="0"/>
        <w:adjustRightInd/>
        <w:snapToGrid/>
        <w:spacing w:before="0" w:line="576" w:lineRule="exact"/>
        <w:jc w:val="center"/>
        <w:textAlignment w:val="auto"/>
        <w:outlineLvl w:val="1"/>
        <w:rPr>
          <w:rFonts w:hint="default" w:ascii="Nimbus Roman" w:hAnsi="Nimbus Roman" w:eastAsia="方正小标宋简体" w:cs="Nimbus Roman"/>
          <w:b w:val="0"/>
          <w:bCs w:val="0"/>
          <w:color w:val="auto"/>
          <w:sz w:val="44"/>
          <w:szCs w:val="44"/>
          <w:highlight w:val="none"/>
          <w:lang w:eastAsia="zh-CN"/>
        </w:rPr>
      </w:pPr>
      <w:bookmarkStart w:id="34" w:name="_Toc19725"/>
      <w:bookmarkStart w:id="35" w:name="_Toc18113"/>
      <w:bookmarkStart w:id="36" w:name="_Toc6496"/>
    </w:p>
    <w:p>
      <w:pPr>
        <w:keepNext w:val="0"/>
        <w:keepLines w:val="0"/>
        <w:pageBreakBefore w:val="0"/>
        <w:widowControl w:val="0"/>
        <w:kinsoku/>
        <w:wordWrap/>
        <w:overflowPunct/>
        <w:topLinePunct w:val="0"/>
        <w:autoSpaceDE w:val="0"/>
        <w:autoSpaceDN w:val="0"/>
        <w:bidi w:val="0"/>
        <w:adjustRightInd/>
        <w:snapToGrid/>
        <w:spacing w:before="0" w:line="576" w:lineRule="exact"/>
        <w:jc w:val="center"/>
        <w:textAlignment w:val="auto"/>
        <w:outlineLvl w:val="1"/>
        <w:rPr>
          <w:rFonts w:hint="default" w:ascii="Nimbus Roman" w:hAnsi="Nimbus Roman" w:eastAsia="方正小标宋简体" w:cs="Nimbus Roman"/>
          <w:b w:val="0"/>
          <w:bCs w:val="0"/>
          <w:color w:val="auto"/>
          <w:sz w:val="44"/>
          <w:szCs w:val="44"/>
          <w:highlight w:val="none"/>
          <w:lang w:eastAsia="zh-CN"/>
        </w:rPr>
        <w:pPrChange w:id="0" w:author="任思青" w:date="2026-09-29T09:06:07Z">
          <w:pPr>
            <w:keepNext w:val="0"/>
            <w:keepLines w:val="0"/>
            <w:pageBreakBefore w:val="0"/>
            <w:widowControl w:val="0"/>
            <w:kinsoku/>
            <w:wordWrap/>
            <w:overflowPunct/>
            <w:topLinePunct w:val="0"/>
            <w:autoSpaceDE w:val="0"/>
            <w:autoSpaceDN w:val="0"/>
            <w:bidi w:val="0"/>
            <w:adjustRightInd/>
            <w:snapToGrid/>
            <w:spacing w:before="0" w:line="576" w:lineRule="exact"/>
            <w:jc w:val="center"/>
            <w:textAlignment w:val="auto"/>
            <w:outlineLvl w:val="1"/>
          </w:pPr>
        </w:pPrChange>
      </w:pPr>
      <w:bookmarkStart w:id="381" w:name="_GoBack"/>
      <w:r>
        <w:rPr>
          <w:rFonts w:hint="default" w:ascii="Nimbus Roman" w:hAnsi="Nimbus Roman" w:eastAsia="方正小标宋简体" w:cs="Nimbus Roman"/>
          <w:b w:val="0"/>
          <w:bCs w:val="0"/>
          <w:color w:val="auto"/>
          <w:sz w:val="44"/>
          <w:szCs w:val="44"/>
          <w:highlight w:val="none"/>
          <w:lang w:eastAsia="zh-CN"/>
        </w:rPr>
        <w:t>呼吸介入类医用耗材省际联盟</w:t>
      </w:r>
      <w:bookmarkEnd w:id="34"/>
      <w:bookmarkEnd w:id="35"/>
      <w:bookmarkEnd w:id="36"/>
      <w:r>
        <w:rPr>
          <w:rFonts w:hint="default" w:ascii="Nimbus Roman" w:hAnsi="Nimbus Roman" w:eastAsia="方正小标宋简体" w:cs="Nimbus Roman"/>
          <w:b w:val="0"/>
          <w:bCs w:val="0"/>
          <w:color w:val="auto"/>
          <w:sz w:val="44"/>
          <w:szCs w:val="44"/>
          <w:highlight w:val="none"/>
          <w:lang w:eastAsia="zh-CN"/>
        </w:rPr>
        <w:t>（湖南）</w:t>
      </w:r>
    </w:p>
    <w:p>
      <w:pPr>
        <w:keepNext w:val="0"/>
        <w:keepLines w:val="0"/>
        <w:pageBreakBefore w:val="0"/>
        <w:widowControl w:val="0"/>
        <w:kinsoku/>
        <w:wordWrap/>
        <w:overflowPunct/>
        <w:topLinePunct w:val="0"/>
        <w:autoSpaceDE w:val="0"/>
        <w:autoSpaceDN w:val="0"/>
        <w:bidi w:val="0"/>
        <w:adjustRightInd/>
        <w:snapToGrid/>
        <w:spacing w:before="0" w:line="576" w:lineRule="exact"/>
        <w:jc w:val="center"/>
        <w:textAlignment w:val="auto"/>
        <w:outlineLvl w:val="1"/>
        <w:rPr>
          <w:rFonts w:hint="default" w:ascii="Nimbus Roman" w:hAnsi="Nimbus Roman" w:eastAsia="方正小标宋简体" w:cs="Nimbus Roman"/>
          <w:b w:val="0"/>
          <w:bCs w:val="0"/>
          <w:color w:val="auto"/>
          <w:sz w:val="44"/>
          <w:szCs w:val="44"/>
          <w:highlight w:val="none"/>
        </w:rPr>
        <w:pPrChange w:id="1" w:author="任思青" w:date="2026-09-29T09:06:07Z">
          <w:pPr>
            <w:keepNext w:val="0"/>
            <w:keepLines w:val="0"/>
            <w:pageBreakBefore w:val="0"/>
            <w:widowControl w:val="0"/>
            <w:kinsoku/>
            <w:wordWrap/>
            <w:overflowPunct/>
            <w:topLinePunct w:val="0"/>
            <w:autoSpaceDE w:val="0"/>
            <w:autoSpaceDN w:val="0"/>
            <w:bidi w:val="0"/>
            <w:adjustRightInd/>
            <w:snapToGrid/>
            <w:spacing w:before="0" w:line="576" w:lineRule="exact"/>
            <w:jc w:val="center"/>
            <w:textAlignment w:val="auto"/>
            <w:outlineLvl w:val="1"/>
          </w:pPr>
        </w:pPrChange>
      </w:pPr>
      <w:r>
        <w:rPr>
          <w:rFonts w:hint="default" w:ascii="Nimbus Roman" w:hAnsi="Nimbus Roman" w:eastAsia="方正小标宋简体" w:cs="Nimbus Roman"/>
          <w:b w:val="0"/>
          <w:bCs w:val="0"/>
          <w:color w:val="auto"/>
          <w:sz w:val="44"/>
          <w:szCs w:val="44"/>
          <w:highlight w:val="none"/>
          <w:lang w:eastAsia="zh-CN"/>
        </w:rPr>
        <w:t>集中带量采购</w:t>
      </w:r>
      <w:r>
        <w:rPr>
          <w:rFonts w:hint="default" w:ascii="Nimbus Roman" w:hAnsi="Nimbus Roman" w:eastAsia="方正小标宋简体" w:cs="Nimbus Roman"/>
          <w:b w:val="0"/>
          <w:bCs w:val="0"/>
          <w:color w:val="auto"/>
          <w:sz w:val="44"/>
          <w:szCs w:val="44"/>
          <w:highlight w:val="none"/>
        </w:rPr>
        <w:t>邀请函</w:t>
      </w:r>
    </w:p>
    <w:p>
      <w:pPr>
        <w:keepNext w:val="0"/>
        <w:keepLines w:val="0"/>
        <w:pageBreakBefore w:val="0"/>
        <w:widowControl w:val="0"/>
        <w:kinsoku/>
        <w:wordWrap/>
        <w:overflowPunct/>
        <w:topLinePunct w:val="0"/>
        <w:autoSpaceDE w:val="0"/>
        <w:autoSpaceDN w:val="0"/>
        <w:bidi w:val="0"/>
        <w:adjustRightInd/>
        <w:snapToGrid/>
        <w:spacing w:before="155" w:line="576" w:lineRule="exact"/>
        <w:jc w:val="center"/>
        <w:textAlignment w:val="auto"/>
        <w:rPr>
          <w:rFonts w:hint="default" w:ascii="Nimbus Roman" w:hAnsi="Nimbus Roman" w:eastAsia="仿宋_GB2312" w:cs="Nimbus Roman"/>
          <w:color w:val="auto"/>
          <w:spacing w:val="8"/>
          <w:sz w:val="32"/>
          <w:szCs w:val="32"/>
          <w:highlight w:val="none"/>
        </w:rPr>
        <w:pPrChange w:id="2" w:author="任思青" w:date="2026-09-29T09:06:07Z">
          <w:pPr>
            <w:keepNext w:val="0"/>
            <w:keepLines w:val="0"/>
            <w:pageBreakBefore w:val="0"/>
            <w:widowControl w:val="0"/>
            <w:kinsoku/>
            <w:wordWrap/>
            <w:overflowPunct/>
            <w:topLinePunct w:val="0"/>
            <w:autoSpaceDE w:val="0"/>
            <w:autoSpaceDN w:val="0"/>
            <w:bidi w:val="0"/>
            <w:adjustRightInd/>
            <w:snapToGrid/>
            <w:spacing w:before="155" w:line="576" w:lineRule="exact"/>
            <w:jc w:val="center"/>
            <w:textAlignment w:val="auto"/>
          </w:pPr>
        </w:pPrChange>
      </w:pPr>
      <w:r>
        <w:rPr>
          <w:rFonts w:hint="default" w:ascii="Nimbus Roman" w:hAnsi="Nimbus Roman" w:eastAsia="仿宋_GB2312" w:cs="Nimbus Roman"/>
          <w:color w:val="auto"/>
          <w:spacing w:val="8"/>
          <w:sz w:val="32"/>
          <w:szCs w:val="32"/>
          <w:highlight w:val="none"/>
        </w:rPr>
        <w:t>（采购文件编号：HNLM-</w:t>
      </w:r>
      <w:bookmarkEnd w:id="381"/>
      <w:r>
        <w:rPr>
          <w:rFonts w:hint="default" w:ascii="Nimbus Roman" w:hAnsi="Nimbus Roman" w:eastAsia="仿宋_GB2312" w:cs="Nimbus Roman"/>
          <w:color w:val="auto"/>
          <w:spacing w:val="8"/>
          <w:sz w:val="32"/>
          <w:szCs w:val="32"/>
          <w:highlight w:val="none"/>
        </w:rPr>
        <w:t>HCDL202</w:t>
      </w:r>
      <w:r>
        <w:rPr>
          <w:rFonts w:hint="default" w:ascii="Nimbus Roman" w:hAnsi="Nimbus Roman" w:cs="Nimbus Roman"/>
          <w:color w:val="auto"/>
          <w:spacing w:val="8"/>
          <w:sz w:val="32"/>
          <w:szCs w:val="32"/>
          <w:highlight w:val="none"/>
          <w:lang w:val="en-US" w:eastAsia="zh-CN"/>
        </w:rPr>
        <w:t>6</w:t>
      </w:r>
      <w:r>
        <w:rPr>
          <w:rFonts w:hint="default" w:ascii="Nimbus Roman" w:hAnsi="Nimbus Roman" w:eastAsia="仿宋_GB2312" w:cs="Nimbus Roman"/>
          <w:color w:val="auto"/>
          <w:spacing w:val="8"/>
          <w:sz w:val="32"/>
          <w:szCs w:val="32"/>
          <w:highlight w:val="none"/>
        </w:rPr>
        <w:t>-1）</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right="-112" w:rightChars="0" w:firstLine="640" w:firstLineChars="200"/>
        <w:jc w:val="both"/>
        <w:textAlignment w:val="auto"/>
        <w:rPr>
          <w:rFonts w:hint="default" w:ascii="Nimbus Roman" w:hAnsi="Nimbus Roman" w:eastAsia="仿宋_GB2312" w:cs="Nimbus Roman"/>
          <w:b w:val="0"/>
          <w:bCs w:val="0"/>
          <w:color w:val="auto"/>
          <w:kern w:val="0"/>
          <w:sz w:val="32"/>
          <w:szCs w:val="32"/>
          <w:highlight w:val="none"/>
        </w:rPr>
      </w:pP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right="-112" w:rightChars="0" w:firstLine="640" w:firstLineChars="200"/>
        <w:jc w:val="left"/>
        <w:textAlignment w:val="auto"/>
        <w:rPr>
          <w:rFonts w:hint="default" w:ascii="Nimbus Roman" w:hAnsi="Nimbus Roman" w:eastAsia="仿宋_GB2312" w:cs="Nimbus Roman"/>
          <w:b w:val="0"/>
          <w:bCs w:val="0"/>
          <w:color w:val="auto"/>
          <w:kern w:val="0"/>
          <w:sz w:val="32"/>
          <w:szCs w:val="32"/>
          <w:highlight w:val="none"/>
          <w:lang w:val="en-US" w:eastAsia="zh-CN"/>
        </w:rPr>
      </w:pPr>
      <w:r>
        <w:rPr>
          <w:rFonts w:hint="default" w:ascii="Nimbus Roman" w:hAnsi="Nimbus Roman" w:eastAsia="仿宋_GB2312" w:cs="Nimbus Roman"/>
          <w:b w:val="0"/>
          <w:bCs w:val="0"/>
          <w:color w:val="auto"/>
          <w:kern w:val="0"/>
          <w:sz w:val="32"/>
          <w:szCs w:val="32"/>
          <w:highlight w:val="none"/>
        </w:rPr>
        <w:t>根据《中共中央</w:t>
      </w:r>
      <w:r>
        <w:rPr>
          <w:rFonts w:hint="default" w:ascii="Nimbus Roman" w:hAnsi="Nimbus Roman" w:eastAsia="仿宋_GB2312" w:cs="Nimbus Roman"/>
          <w:b w:val="0"/>
          <w:bCs w:val="0"/>
          <w:color w:val="auto"/>
          <w:kern w:val="0"/>
          <w:sz w:val="32"/>
          <w:szCs w:val="32"/>
          <w:highlight w:val="none"/>
          <w:lang w:val="en-US" w:eastAsia="zh-CN"/>
        </w:rPr>
        <w:t xml:space="preserve"> </w:t>
      </w:r>
      <w:r>
        <w:rPr>
          <w:rFonts w:hint="default" w:ascii="Nimbus Roman" w:hAnsi="Nimbus Roman" w:eastAsia="仿宋_GB2312" w:cs="Nimbus Roman"/>
          <w:b w:val="0"/>
          <w:bCs w:val="0"/>
          <w:color w:val="auto"/>
          <w:kern w:val="0"/>
          <w:sz w:val="32"/>
          <w:szCs w:val="32"/>
          <w:highlight w:val="none"/>
        </w:rPr>
        <w:t>国务院关于深化医疗保障制度改革的意见》（中发〔2020〕5号）、</w:t>
      </w:r>
      <w:r>
        <w:rPr>
          <w:rFonts w:hint="default" w:ascii="Nimbus Roman" w:hAnsi="Nimbus Roman" w:eastAsia="仿宋_GB2312" w:cs="Nimbus Roman"/>
          <w:b w:val="0"/>
          <w:bCs w:val="0"/>
          <w:color w:val="auto"/>
          <w:kern w:val="0"/>
          <w:sz w:val="32"/>
          <w:szCs w:val="32"/>
          <w:highlight w:val="none"/>
          <w:lang w:eastAsia="zh-CN"/>
        </w:rPr>
        <w:t>《湖南省医疗保障局呼吸介入类医用耗材省际联盟（湖南）集中带量采购工作方案》</w:t>
      </w:r>
      <w:r>
        <w:rPr>
          <w:rFonts w:hint="default" w:ascii="Nimbus Roman" w:hAnsi="Nimbus Roman" w:eastAsia="仿宋_GB2312" w:cs="Nimbus Roman"/>
          <w:b w:val="0"/>
          <w:bCs w:val="0"/>
          <w:color w:val="auto"/>
          <w:kern w:val="0"/>
          <w:sz w:val="32"/>
          <w:szCs w:val="32"/>
          <w:highlight w:val="none"/>
        </w:rPr>
        <w:t>等有关文件精神</w:t>
      </w:r>
      <w:r>
        <w:rPr>
          <w:rFonts w:hint="default" w:ascii="Nimbus Roman" w:hAnsi="Nimbus Roman" w:eastAsia="仿宋_GB2312" w:cs="Nimbus Roman"/>
          <w:b w:val="0"/>
          <w:bCs w:val="0"/>
          <w:color w:val="auto"/>
          <w:kern w:val="0"/>
          <w:sz w:val="32"/>
          <w:szCs w:val="32"/>
          <w:highlight w:val="none"/>
          <w:lang w:eastAsia="zh-CN"/>
        </w:rPr>
        <w:t>，</w:t>
      </w:r>
      <w:r>
        <w:rPr>
          <w:rFonts w:hint="default" w:ascii="Nimbus Roman" w:hAnsi="Nimbus Roman" w:eastAsia="仿宋_GB2312" w:cs="Nimbus Roman"/>
          <w:color w:val="auto"/>
          <w:sz w:val="32"/>
          <w:szCs w:val="32"/>
          <w:highlight w:val="none"/>
          <w:lang w:val="en-US" w:eastAsia="zh-CN"/>
        </w:rPr>
        <w:t>按照政府组织、联盟采购、平台操作的总体思路，由湖南省医疗保障局牵头，北京市、天津市、河北省、山西省、内蒙古自治区、辽宁省、吉林省、黑龙江省、上海市、江苏省、浙江省、安徽省、福建省、江西省、山东省、河南省、湖北省、广东省、广西壮族自治区、海南省、重庆市、四川省、贵州省、云南省、西藏自治区、陕西省、甘肃省、青海省、宁夏回族自治区、新疆维吾尔自治区、新疆生产建设兵团组成32省（市、自治区、兵团）采购联盟，委派代表组成呼吸介入类医用耗材省际联盟（湖南）集中带量采购联盟采购办公室（以下简称“联采办”），代表各地区公立医疗机构（含军队医疗机构，下同）及自愿参加的医</w:t>
      </w:r>
      <w:r>
        <w:rPr>
          <w:rFonts w:hint="default" w:ascii="Nimbus Roman" w:hAnsi="Nimbus Roman" w:eastAsia="仿宋_GB2312" w:cs="Nimbus Roman"/>
          <w:b w:val="0"/>
          <w:bCs w:val="0"/>
          <w:color w:val="auto"/>
          <w:kern w:val="0"/>
          <w:sz w:val="32"/>
          <w:szCs w:val="32"/>
          <w:highlight w:val="none"/>
          <w:lang w:val="en-US" w:eastAsia="zh-CN"/>
        </w:rPr>
        <w:t>保定点社会办医疗机构等开展呼吸介入类医用耗材集中带量采购工作，由联盟采购工作专班承担日常工作并负责具体实施。</w:t>
      </w:r>
    </w:p>
    <w:p>
      <w:pPr>
        <w:keepNext w:val="0"/>
        <w:keepLines w:val="0"/>
        <w:pageBreakBefore w:val="0"/>
        <w:widowControl w:val="0"/>
        <w:kinsoku/>
        <w:wordWrap/>
        <w:overflowPunct/>
        <w:topLinePunct w:val="0"/>
        <w:autoSpaceDE w:val="0"/>
        <w:autoSpaceDN w:val="0"/>
        <w:bidi w:val="0"/>
        <w:adjustRightInd/>
        <w:snapToGrid/>
        <w:spacing w:before="0" w:line="576" w:lineRule="exact"/>
        <w:ind w:left="0" w:leftChars="0" w:firstLine="624" w:firstLineChars="200"/>
        <w:jc w:val="left"/>
        <w:textAlignment w:val="auto"/>
        <w:outlineLvl w:val="9"/>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spacing w:val="-4"/>
          <w:highlight w:val="none"/>
        </w:rPr>
        <w:t>欢迎符合要求的企业参与。</w:t>
      </w:r>
      <w:bookmarkStart w:id="37" w:name="_Toc30105"/>
      <w:bookmarkStart w:id="38" w:name="_Toc10510"/>
    </w:p>
    <w:bookmarkEnd w:id="37"/>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jc w:val="both"/>
        <w:textAlignment w:val="auto"/>
        <w:outlineLvl w:val="1"/>
        <w:rPr>
          <w:rFonts w:hint="default" w:ascii="Nimbus Roman" w:hAnsi="Nimbus Roman" w:eastAsia="黑体" w:cs="Nimbus Roman"/>
          <w:b w:val="0"/>
          <w:bCs w:val="0"/>
          <w:color w:val="auto"/>
          <w:sz w:val="32"/>
          <w:szCs w:val="32"/>
          <w:highlight w:val="none"/>
          <w:lang w:val="en-US" w:eastAsia="zh-CN"/>
        </w:rPr>
      </w:pPr>
      <w:bookmarkStart w:id="39" w:name="_Toc1380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40" w:firstLineChars="200"/>
        <w:jc w:val="both"/>
        <w:textAlignment w:val="auto"/>
        <w:outlineLvl w:val="1"/>
        <w:rPr>
          <w:rFonts w:hint="default" w:ascii="Nimbus Roman" w:hAnsi="Nimbus Roman" w:eastAsia="黑体" w:cs="Nimbus Roman"/>
          <w:b w:val="0"/>
          <w:bCs w:val="0"/>
          <w:color w:val="auto"/>
          <w:sz w:val="32"/>
          <w:szCs w:val="32"/>
          <w:highlight w:val="none"/>
          <w:lang w:val="en-US" w:eastAsia="zh-CN"/>
        </w:rPr>
      </w:pPr>
      <w:r>
        <w:rPr>
          <w:rFonts w:hint="default" w:ascii="Nimbus Roman" w:hAnsi="Nimbus Roman" w:eastAsia="黑体" w:cs="Nimbus Roman"/>
          <w:b w:val="0"/>
          <w:bCs w:val="0"/>
          <w:color w:val="auto"/>
          <w:sz w:val="32"/>
          <w:szCs w:val="32"/>
          <w:highlight w:val="none"/>
          <w:lang w:val="en-US" w:eastAsia="zh-CN"/>
        </w:rPr>
        <w:t>1.1</w:t>
      </w:r>
      <w:r>
        <w:rPr>
          <w:rFonts w:hint="eastAsia" w:ascii="Nimbus Roman" w:hAnsi="Nimbus Roman" w:eastAsia="黑体" w:cs="Nimbus Roman"/>
          <w:b w:val="0"/>
          <w:bCs w:val="0"/>
          <w:color w:val="auto"/>
          <w:sz w:val="32"/>
          <w:szCs w:val="32"/>
          <w:highlight w:val="none"/>
          <w:lang w:val="en-US" w:eastAsia="zh-CN"/>
        </w:rPr>
        <w:t xml:space="preserve"> </w:t>
      </w:r>
      <w:r>
        <w:rPr>
          <w:rFonts w:hint="default" w:ascii="Nimbus Roman" w:hAnsi="Nimbus Roman" w:eastAsia="黑体" w:cs="Nimbus Roman"/>
          <w:b w:val="0"/>
          <w:bCs w:val="0"/>
          <w:color w:val="auto"/>
          <w:sz w:val="32"/>
          <w:szCs w:val="32"/>
          <w:highlight w:val="none"/>
          <w:lang w:val="en-US" w:eastAsia="zh-CN"/>
        </w:rPr>
        <w:t>采购产品、采购需求量及最高有效申报价</w:t>
      </w:r>
      <w:bookmarkEnd w:id="38"/>
      <w:bookmarkEnd w:id="3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eastAsia" w:ascii="Nimbus Roman" w:hAnsi="Nimbus Roman" w:eastAsia="仿宋_GB2312" w:cs="Nimbus Roman"/>
          <w:b w:val="0"/>
          <w:bCs w:val="0"/>
          <w:color w:val="auto"/>
          <w:highlight w:val="none"/>
          <w:lang w:val="en-US" w:eastAsia="zh-CN"/>
        </w:rPr>
      </w:pPr>
      <w:bookmarkStart w:id="40" w:name="_Toc12402"/>
      <w:bookmarkStart w:id="41" w:name="_Toc18491"/>
      <w:r>
        <w:rPr>
          <w:rFonts w:hint="eastAsia" w:ascii="Nimbus Roman" w:hAnsi="Nimbus Roman" w:eastAsia="仿宋_GB2312" w:cs="Nimbus Roman"/>
          <w:b w:val="0"/>
          <w:bCs w:val="0"/>
          <w:color w:val="auto"/>
          <w:highlight w:val="none"/>
          <w:lang w:val="en-US" w:eastAsia="zh-CN"/>
        </w:rPr>
        <w:t>1.1.1</w:t>
      </w:r>
      <w:r>
        <w:rPr>
          <w:rFonts w:hint="eastAsia" w:ascii="Nimbus Roman" w:hAnsi="Nimbus Roman" w:cs="Nimbus Roman"/>
          <w:b w:val="0"/>
          <w:bCs w:val="0"/>
          <w:color w:val="auto"/>
          <w:highlight w:val="none"/>
          <w:lang w:val="en-US" w:eastAsia="zh-CN"/>
        </w:rPr>
        <w:t xml:space="preserve"> </w:t>
      </w:r>
      <w:r>
        <w:rPr>
          <w:rFonts w:hint="eastAsia" w:ascii="Nimbus Roman" w:hAnsi="Nimbus Roman" w:eastAsia="仿宋_GB2312" w:cs="Nimbus Roman"/>
          <w:b w:val="0"/>
          <w:bCs w:val="0"/>
          <w:color w:val="auto"/>
          <w:highlight w:val="none"/>
          <w:lang w:val="en-US" w:eastAsia="zh-CN"/>
        </w:rPr>
        <w:t>采购产品</w:t>
      </w:r>
      <w:bookmarkEnd w:id="40"/>
      <w:bookmarkEnd w:id="41"/>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right="-112" w:rightChars="0" w:firstLine="640" w:firstLineChars="200"/>
        <w:jc w:val="both"/>
        <w:textAlignment w:val="auto"/>
        <w:rPr>
          <w:rFonts w:hint="default" w:ascii="Nimbus Roman" w:hAnsi="Nimbus Roman" w:eastAsia="仿宋_GB2312" w:cs="Nimbus Roman"/>
          <w:color w:val="auto"/>
          <w:sz w:val="32"/>
          <w:szCs w:val="32"/>
          <w:highlight w:val="none"/>
          <w:lang w:val="en-US" w:eastAsia="zh-CN"/>
        </w:rPr>
      </w:pPr>
      <w:r>
        <w:rPr>
          <w:rFonts w:hint="default" w:ascii="Nimbus Roman" w:hAnsi="Nimbus Roman" w:eastAsia="仿宋_GB2312" w:cs="Nimbus Roman"/>
          <w:color w:val="auto"/>
          <w:sz w:val="32"/>
          <w:szCs w:val="32"/>
          <w:highlight w:val="none"/>
          <w:lang w:val="en-US" w:eastAsia="zh-CN"/>
        </w:rPr>
        <w:t>本次集中带量采购产品为呼吸介入类一次性使用医用耗材。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42" w:name="_Toc11354"/>
      <w:bookmarkStart w:id="43" w:name="_Toc7966"/>
      <w:bookmarkStart w:id="44" w:name="_Toc19522"/>
      <w:r>
        <w:rPr>
          <w:rFonts w:hint="default" w:ascii="Nimbus Roman" w:hAnsi="Nimbus Roman" w:cs="Nimbus Roman"/>
          <w:b w:val="0"/>
          <w:bCs w:val="0"/>
          <w:color w:val="auto"/>
          <w:highlight w:val="none"/>
          <w:lang w:val="en-US" w:eastAsia="zh-CN"/>
        </w:rPr>
        <w:t>1.1.1.1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产品范围</w:t>
      </w:r>
      <w:bookmarkEnd w:id="42"/>
      <w:bookmarkEnd w:id="43"/>
      <w:bookmarkEnd w:id="4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color w:val="auto"/>
          <w:highlight w:val="none"/>
          <w:lang w:val="en-US"/>
        </w:rPr>
      </w:pPr>
      <w:bookmarkStart w:id="45" w:name="_Toc20079"/>
      <w:bookmarkStart w:id="46" w:name="_Toc28285"/>
      <w:bookmarkStart w:id="47" w:name="_Toc14486"/>
      <w:r>
        <w:rPr>
          <w:rFonts w:hint="default" w:ascii="Nimbus Roman" w:hAnsi="Nimbus Roman" w:cs="Nimbus Roman"/>
          <w:b w:val="0"/>
          <w:bCs w:val="0"/>
          <w:color w:val="auto"/>
          <w:highlight w:val="none"/>
          <w:lang w:val="en-US" w:eastAsia="zh-CN"/>
        </w:rPr>
        <w:t>获得中华人民共和国医疗器械注册证的呼吸介入类医用耗材。</w:t>
      </w:r>
      <w:r>
        <w:rPr>
          <w:rFonts w:hint="default" w:ascii="Nimbus Roman" w:hAnsi="Nimbus Roman" w:cs="Nimbus Roman"/>
          <w:color w:val="auto"/>
          <w:highlight w:val="none"/>
          <w:lang w:val="en-US"/>
        </w:rPr>
        <w:t>包括一次性电子支气管镜/一次性成像导管、气道球囊扩张导管/支气管封堵导管、气管支气管支架、呼吸介入用活检钳、气道导丝、呼吸介入用细胞刷、呼吸介入用灌洗管、呼吸介入用喷洒管。</w:t>
      </w:r>
    </w:p>
    <w:bookmarkEnd w:id="45"/>
    <w:bookmarkEnd w:id="46"/>
    <w:bookmarkEnd w:id="47"/>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color w:val="auto"/>
          <w:highlight w:val="none"/>
          <w:lang w:val="en-US" w:eastAsia="zh-CN"/>
        </w:rPr>
      </w:pPr>
      <w:bookmarkStart w:id="48" w:name="_Toc28914"/>
      <w:bookmarkStart w:id="49" w:name="_Toc15871"/>
      <w:r>
        <w:rPr>
          <w:rFonts w:hint="default" w:ascii="Nimbus Roman" w:hAnsi="Nimbus Roman" w:cs="Nimbus Roman"/>
          <w:color w:val="auto"/>
          <w:highlight w:val="none"/>
          <w:lang w:val="en-US" w:eastAsia="zh-CN"/>
        </w:rPr>
        <w:t>本次集采范围不包括需与呼吸机连接使用、在单肺通气手术中用于阻断左肺或右肺气道的支气管封堵器。</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1.1.1.</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产品类别</w:t>
      </w:r>
    </w:p>
    <w:tbl>
      <w:tblPr>
        <w:tblStyle w:val="15"/>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7"/>
        <w:gridCol w:w="2021"/>
        <w:gridCol w:w="61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80" w:hRule="atLeast"/>
          <w:tblHeader/>
          <w:jc w:val="center"/>
        </w:trPr>
        <w:tc>
          <w:tcPr>
            <w:tcW w:w="5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i w:val="0"/>
                <w:iCs w:val="0"/>
                <w:color w:val="auto"/>
                <w:sz w:val="21"/>
                <w:szCs w:val="21"/>
                <w:u w:val="none"/>
              </w:rPr>
            </w:pPr>
            <w:r>
              <w:rPr>
                <w:rFonts w:hint="default" w:ascii="Nimbus Roman" w:hAnsi="Nimbus Roman" w:eastAsia="黑体" w:cs="Nimbus Roman"/>
                <w:i w:val="0"/>
                <w:iCs w:val="0"/>
                <w:color w:val="auto"/>
                <w:kern w:val="0"/>
                <w:sz w:val="21"/>
                <w:szCs w:val="21"/>
                <w:u w:val="none"/>
                <w:lang w:val="en-US" w:eastAsia="zh-CN" w:bidi="ar"/>
              </w:rPr>
              <w:t>序号</w:t>
            </w:r>
          </w:p>
        </w:tc>
        <w:tc>
          <w:tcPr>
            <w:tcW w:w="1115"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i w:val="0"/>
                <w:iCs w:val="0"/>
                <w:color w:val="auto"/>
                <w:sz w:val="21"/>
                <w:szCs w:val="21"/>
                <w:u w:val="none"/>
              </w:rPr>
            </w:pPr>
            <w:r>
              <w:rPr>
                <w:rFonts w:hint="default" w:ascii="Nimbus Roman" w:hAnsi="Nimbus Roman" w:eastAsia="黑体" w:cs="Nimbus Roman"/>
                <w:i w:val="0"/>
                <w:iCs w:val="0"/>
                <w:color w:val="auto"/>
                <w:kern w:val="0"/>
                <w:sz w:val="21"/>
                <w:szCs w:val="21"/>
                <w:u w:val="none"/>
                <w:lang w:val="en-US" w:eastAsia="zh-CN" w:bidi="ar"/>
              </w:rPr>
              <w:t>产品类别</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i w:val="0"/>
                <w:iCs w:val="0"/>
                <w:color w:val="auto"/>
                <w:sz w:val="21"/>
                <w:szCs w:val="21"/>
                <w:u w:val="none"/>
              </w:rPr>
            </w:pPr>
            <w:r>
              <w:rPr>
                <w:rFonts w:hint="default" w:ascii="Nimbus Roman" w:hAnsi="Nimbus Roman" w:eastAsia="黑体" w:cs="Nimbus Roman"/>
                <w:i w:val="0"/>
                <w:iCs w:val="0"/>
                <w:color w:val="auto"/>
                <w:kern w:val="0"/>
                <w:sz w:val="21"/>
                <w:szCs w:val="21"/>
                <w:u w:val="none"/>
                <w:lang w:val="en-US" w:eastAsia="zh-CN" w:bidi="ar"/>
              </w:rPr>
              <w:t>产品类别说明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一次性电子支气管镜/一次性成像导管</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通常由头端部、弯曲部、插入部、操作部等部分构成，主要用于呼吸系统疾病检查、诊断和治疗。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2</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气道球囊扩张导管/支气管封堵导管</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1.气道球囊扩张导管：通常由柔性导管和末端的可膨胀球囊等部分构成。主要用气管狭窄的扩张或者辅助扩张治疗。</w:t>
            </w:r>
          </w:p>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2.支气管封堵导管：通常由柔性导管和末端的可膨胀球囊等部分构成。主要用于阻断气道、气道止血等用途。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3</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气管支气管支架</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通常由金属制成，含支架输送系统，主要用于扩张和支撑由各种原因造成的气道狭窄。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4</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气道导丝</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通常由芯丝、包塑层、软头、亲水涂层等部分组成，主要用于气道引导或导入其他器械等用途。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5</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呼吸介入用活检钳</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通常由拇指环、滑动把手、导管、手柄、导向管、弹簧管/包塑弹簧管、牵引绳、钳头/钳杯等部分构成，主要用于钳取呼吸道组织样本。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6</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呼吸介入用细胞刷</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通常由刷头、外管、手柄等部分构成，主要用于刷取细胞样本。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7</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呼吸介入用灌洗管</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通常由注入口、手柄、导管、集液瓶等部分构成，主要用于对气道、肺泡进行灌洗、喷洒药液或造影。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jc w:val="center"/>
        </w:trPr>
        <w:tc>
          <w:tcPr>
            <w:tcW w:w="501"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8</w:t>
            </w:r>
          </w:p>
        </w:tc>
        <w:tc>
          <w:tcPr>
            <w:tcW w:w="1115"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呼吸介入用喷洒管</w:t>
            </w:r>
          </w:p>
        </w:tc>
        <w:tc>
          <w:tcPr>
            <w:tcW w:w="33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both"/>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通常由喷洒头、导管、注液接头、手柄等部分构成，通常用于呼吸道内药液喷洒等操作。</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1.1.2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采购需求量</w:t>
      </w:r>
      <w:bookmarkEnd w:id="48"/>
      <w:bookmarkEnd w:id="4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50" w:name="_Toc4630"/>
      <w:bookmarkStart w:id="51" w:name="_Toc14557"/>
      <w:bookmarkStart w:id="52" w:name="_Toc5951"/>
      <w:r>
        <w:rPr>
          <w:rFonts w:hint="default" w:ascii="Nimbus Roman" w:hAnsi="Nimbus Roman" w:cs="Nimbus Roman"/>
          <w:b w:val="0"/>
          <w:bCs w:val="0"/>
          <w:color w:val="auto"/>
          <w:highlight w:val="none"/>
          <w:lang w:val="en-US" w:eastAsia="zh-CN"/>
        </w:rPr>
        <w:t>呼吸介入类</w:t>
      </w:r>
      <w:r>
        <w:rPr>
          <w:rFonts w:hint="default" w:ascii="Nimbus Roman" w:hAnsi="Nimbus Roman" w:eastAsia="仿宋_GB2312" w:cs="Nimbus Roman"/>
          <w:b w:val="0"/>
          <w:bCs w:val="0"/>
          <w:color w:val="auto"/>
          <w:highlight w:val="none"/>
          <w:lang w:val="en-US" w:eastAsia="zh-CN"/>
        </w:rPr>
        <w:t>医用耗材的年度采购需求量按参加本次集中带量采购的每一家医疗机构报送的各产品采购需求量累加得出，各类别耗材需求总量及各联盟地区采购需求量详见附件</w:t>
      </w:r>
      <w:r>
        <w:rPr>
          <w:rFonts w:hint="default" w:ascii="Nimbus Roman" w:hAnsi="Nimbus Roman"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w:t>
      </w:r>
      <w:bookmarkEnd w:id="33"/>
      <w:bookmarkEnd w:id="50"/>
      <w:bookmarkEnd w:id="51"/>
      <w:bookmarkEnd w:id="52"/>
      <w:bookmarkStart w:id="53" w:name="_Toc21857"/>
      <w:bookmarkStart w:id="54" w:name="_Toc29229"/>
      <w:bookmarkStart w:id="55" w:name="_Toc16148"/>
      <w:bookmarkStart w:id="56" w:name="_Toc1210"/>
      <w:bookmarkStart w:id="57" w:name="_Toc25767"/>
      <w:bookmarkStart w:id="58" w:name="_Toc2790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sz w:val="32"/>
          <w:szCs w:val="32"/>
          <w:highlight w:val="none"/>
          <w:lang w:val="en-US" w:eastAsia="zh-CN"/>
        </w:rPr>
      </w:pPr>
      <w:r>
        <w:rPr>
          <w:rFonts w:hint="default" w:ascii="Nimbus Roman" w:hAnsi="Nimbus Roman" w:eastAsia="黑体" w:cs="Nimbus Roman"/>
          <w:b w:val="0"/>
          <w:bCs w:val="0"/>
          <w:color w:val="auto"/>
          <w:sz w:val="32"/>
          <w:szCs w:val="32"/>
          <w:highlight w:val="none"/>
          <w:lang w:val="en-US" w:eastAsia="zh-CN"/>
        </w:rPr>
        <w:t>1.2</w:t>
      </w:r>
      <w:r>
        <w:rPr>
          <w:rFonts w:hint="eastAsia" w:ascii="Nimbus Roman" w:hAnsi="Nimbus Roman" w:eastAsia="黑体" w:cs="Nimbus Roman"/>
          <w:b w:val="0"/>
          <w:bCs w:val="0"/>
          <w:color w:val="auto"/>
          <w:sz w:val="32"/>
          <w:szCs w:val="32"/>
          <w:highlight w:val="none"/>
          <w:lang w:val="en-US" w:eastAsia="zh-CN"/>
        </w:rPr>
        <w:t xml:space="preserve"> </w:t>
      </w:r>
      <w:r>
        <w:rPr>
          <w:rFonts w:hint="default" w:ascii="Nimbus Roman" w:hAnsi="Nimbus Roman" w:eastAsia="黑体" w:cs="Nimbus Roman"/>
          <w:b w:val="0"/>
          <w:bCs w:val="0"/>
          <w:color w:val="auto"/>
          <w:sz w:val="32"/>
          <w:szCs w:val="32"/>
          <w:highlight w:val="none"/>
          <w:lang w:val="en-US" w:eastAsia="zh-CN"/>
        </w:rPr>
        <w:t>申报要求</w:t>
      </w:r>
      <w:bookmarkEnd w:id="53"/>
      <w:bookmarkEnd w:id="54"/>
      <w:bookmarkEnd w:id="55"/>
      <w:bookmarkEnd w:id="56"/>
      <w:bookmarkEnd w:id="5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59" w:name="_Toc178178809"/>
      <w:bookmarkStart w:id="60" w:name="_Toc8030"/>
      <w:bookmarkStart w:id="61" w:name="_Toc178495844"/>
      <w:bookmarkStart w:id="62" w:name="_Toc31183"/>
      <w:bookmarkStart w:id="63" w:name="_Toc178993757"/>
      <w:bookmarkStart w:id="64" w:name="_Toc22893"/>
      <w:r>
        <w:rPr>
          <w:rFonts w:hint="default" w:ascii="Nimbus Roman" w:hAnsi="Nimbus Roman" w:eastAsia="仿宋_GB2312" w:cs="Nimbus Roman"/>
          <w:b w:val="0"/>
          <w:bCs w:val="0"/>
          <w:color w:val="auto"/>
          <w:highlight w:val="none"/>
          <w:lang w:val="en-US" w:eastAsia="zh-CN"/>
        </w:rPr>
        <w:t>1.2.1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w:t>
      </w:r>
      <w:bookmarkEnd w:id="59"/>
      <w:bookmarkEnd w:id="60"/>
      <w:r>
        <w:rPr>
          <w:rFonts w:hint="default" w:ascii="Nimbus Roman" w:hAnsi="Nimbus Roman" w:eastAsia="仿宋_GB2312" w:cs="Nimbus Roman"/>
          <w:b w:val="0"/>
          <w:bCs w:val="0"/>
          <w:color w:val="auto"/>
          <w:highlight w:val="none"/>
          <w:lang w:val="en-US" w:eastAsia="zh-CN"/>
        </w:rPr>
        <w:t>资格要求</w:t>
      </w:r>
      <w:bookmarkEnd w:id="61"/>
      <w:bookmarkEnd w:id="62"/>
      <w:bookmarkEnd w:id="63"/>
      <w:bookmarkEnd w:id="6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65" w:name="_Toc23613"/>
      <w:bookmarkStart w:id="66" w:name="_Toc32099"/>
      <w:bookmarkStart w:id="67" w:name="_Toc29258"/>
      <w:r>
        <w:rPr>
          <w:rFonts w:hint="default" w:ascii="Nimbus Roman" w:hAnsi="Nimbus Roman" w:cs="Nimbus Roman"/>
          <w:b w:val="0"/>
          <w:bCs w:val="0"/>
          <w:color w:val="auto"/>
          <w:highlight w:val="none"/>
          <w:lang w:val="en-US" w:eastAsia="zh-CN"/>
        </w:rPr>
        <w:t>1.2.1.</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申报企业为已取得本次集中带量采购产品合法资质的医</w:t>
      </w:r>
      <w:bookmarkEnd w:id="65"/>
      <w:bookmarkEnd w:id="66"/>
      <w:bookmarkEnd w:id="67"/>
      <w:bookmarkStart w:id="68" w:name="_Toc12458"/>
      <w:bookmarkStart w:id="69" w:name="_Toc10180"/>
      <w:bookmarkStart w:id="70" w:name="_Toc29107"/>
      <w:r>
        <w:rPr>
          <w:rFonts w:hint="default" w:ascii="Nimbus Roman" w:hAnsi="Nimbus Roman" w:eastAsia="仿宋_GB2312" w:cs="Nimbus Roman"/>
          <w:b w:val="0"/>
          <w:bCs w:val="0"/>
          <w:color w:val="auto"/>
          <w:highlight w:val="none"/>
          <w:lang w:val="en-US" w:eastAsia="zh-CN"/>
        </w:rPr>
        <w:t>疗器械注册人（含备案人，下同）。在产品质量标准、供应能力</w:t>
      </w:r>
      <w:r>
        <w:rPr>
          <w:rFonts w:hint="default" w:ascii="Nimbus Roman" w:hAnsi="Nimbus Roman" w:cs="Nimbus Roman"/>
          <w:b w:val="0"/>
          <w:bCs w:val="0"/>
          <w:color w:val="auto"/>
          <w:highlight w:val="none"/>
          <w:lang w:val="en-US" w:eastAsia="zh-CN"/>
        </w:rPr>
        <w:t>、企业信用</w:t>
      </w:r>
      <w:r>
        <w:rPr>
          <w:rFonts w:hint="default" w:ascii="Nimbus Roman" w:hAnsi="Nimbus Roman" w:eastAsia="仿宋_GB2312" w:cs="Nimbus Roman"/>
          <w:b w:val="0"/>
          <w:bCs w:val="0"/>
          <w:color w:val="auto"/>
          <w:highlight w:val="none"/>
          <w:lang w:val="en-US" w:eastAsia="zh-CN"/>
        </w:rPr>
        <w:t>等方面达到要求的均可参加。其中，境外医疗器械注册人应当指定我国境内企业法人作为申报企业，并协助其履行相应的法律法规义务。同一境外医疗器械注册人的同一品种应当委托同一企业申报。</w:t>
      </w:r>
      <w:bookmarkEnd w:id="68"/>
      <w:bookmarkEnd w:id="69"/>
      <w:bookmarkEnd w:id="7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71" w:name="_Toc8683"/>
      <w:bookmarkStart w:id="72" w:name="_Toc21445"/>
      <w:bookmarkStart w:id="73" w:name="_Toc6549"/>
      <w:r>
        <w:rPr>
          <w:rFonts w:hint="default" w:ascii="Nimbus Roman" w:hAnsi="Nimbus Roman" w:cs="Nimbus Roman"/>
          <w:b w:val="0"/>
          <w:bCs w:val="0"/>
          <w:color w:val="auto"/>
          <w:highlight w:val="none"/>
          <w:lang w:val="en-US" w:eastAsia="zh-CN"/>
        </w:rPr>
        <w:t>1.2.1.2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不同医疗器械注册人、申报企业为同一实际控制人或存在控股关系（直接或间接控股超过50%的情形）的，各医疗器械注册人和申报企业之间均视为存在关联关系。同一企业代表不同医疗器械注册人申报的，相关企业视为存在关联关系。存在关联关系的企业之间可独立申报，但在入围中受一定规则制约。</w:t>
      </w:r>
      <w:bookmarkEnd w:id="71"/>
      <w:bookmarkEnd w:id="72"/>
      <w:bookmarkEnd w:id="7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74" w:name="_Toc5363"/>
      <w:bookmarkStart w:id="75" w:name="_Toc31777"/>
      <w:bookmarkStart w:id="76" w:name="_Toc5399"/>
      <w:r>
        <w:rPr>
          <w:rFonts w:hint="default" w:ascii="Nimbus Roman" w:hAnsi="Nimbus Roman" w:cs="Nimbus Roman"/>
          <w:b w:val="0"/>
          <w:bCs w:val="0"/>
          <w:color w:val="auto"/>
          <w:highlight w:val="none"/>
          <w:lang w:val="en-US" w:eastAsia="zh-CN"/>
        </w:rPr>
        <w:t>1.2.1.3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境外医疗器械注册人按照国家</w:t>
      </w:r>
      <w:r>
        <w:rPr>
          <w:rFonts w:hint="default" w:ascii="Nimbus Roman" w:hAnsi="Nimbus Roman" w:cs="Nimbus Roman"/>
          <w:b w:val="0"/>
          <w:bCs w:val="0"/>
          <w:color w:val="auto"/>
          <w:highlight w:val="none"/>
          <w:lang w:val="en-US" w:eastAsia="zh-CN"/>
        </w:rPr>
        <w:t>药品监督管理局</w:t>
      </w:r>
      <w:r>
        <w:rPr>
          <w:rFonts w:hint="default" w:ascii="Nimbus Roman" w:hAnsi="Nimbus Roman" w:eastAsia="仿宋_GB2312" w:cs="Nimbus Roman"/>
          <w:b w:val="0"/>
          <w:bCs w:val="0"/>
          <w:color w:val="auto"/>
          <w:highlight w:val="none"/>
          <w:lang w:val="en-US" w:eastAsia="zh-CN"/>
        </w:rPr>
        <w:t>有关规定，通过其在境内设立的外商投资企业生产已获进口医疗器械注册证产品的，该境外医疗器械注册人指定的申报企业与其境内设立的外商投资医疗器械注册人，视为同一申报企业，应由该境外医疗器械注册人指定的申报企业提交一份唯一报价的申报材料。</w:t>
      </w:r>
      <w:bookmarkEnd w:id="74"/>
      <w:bookmarkEnd w:id="75"/>
      <w:bookmarkEnd w:id="7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77" w:name="_Toc13704"/>
      <w:bookmarkStart w:id="78" w:name="_Toc1366"/>
      <w:bookmarkStart w:id="79" w:name="_Toc22188"/>
      <w:r>
        <w:rPr>
          <w:rFonts w:hint="default" w:ascii="Nimbus Roman" w:hAnsi="Nimbus Roman" w:cs="Nimbus Roman"/>
          <w:b w:val="0"/>
          <w:bCs w:val="0"/>
          <w:color w:val="auto"/>
          <w:highlight w:val="none"/>
          <w:lang w:val="en-US" w:eastAsia="zh-CN"/>
        </w:rPr>
        <w:t>1.2.1.4</w:t>
      </w:r>
      <w:bookmarkEnd w:id="77"/>
      <w:bookmarkEnd w:id="78"/>
      <w:bookmarkEnd w:id="79"/>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w:t>
      </w:r>
      <w:r>
        <w:rPr>
          <w:rFonts w:hint="default" w:ascii="Nimbus Roman" w:hAnsi="Nimbus Roman" w:cs="Nimbus Roman"/>
          <w:b w:val="0"/>
          <w:bCs w:val="0"/>
          <w:color w:val="auto"/>
          <w:highlight w:val="none"/>
          <w:lang w:val="en-US" w:eastAsia="zh-CN"/>
        </w:rPr>
        <w:t>应</w:t>
      </w:r>
      <w:r>
        <w:rPr>
          <w:rFonts w:hint="default" w:ascii="Nimbus Roman" w:hAnsi="Nimbus Roman" w:eastAsia="仿宋_GB2312" w:cs="Nimbus Roman"/>
          <w:b w:val="0"/>
          <w:bCs w:val="0"/>
          <w:color w:val="auto"/>
          <w:highlight w:val="none"/>
          <w:lang w:val="en-US" w:eastAsia="zh-CN"/>
        </w:rPr>
        <w:t>遵守相关法律法规，包括但不限于《中华人民共和国基本医疗卫生与健康促进法》《中华人民共和国价格法》《中华人民共和国反不正当竞争法》《中华人民共和国反垄断法》《中华人民共和国专利法》《中华人民共和国医疗器械监督管理条例》等，并承担相应责任。</w:t>
      </w:r>
    </w:p>
    <w:p>
      <w:pPr>
        <w:numPr>
          <w:ilvl w:val="0"/>
          <w:numId w:val="0"/>
        </w:numPr>
        <w:autoSpaceDE/>
        <w:autoSpaceDN/>
        <w:spacing w:line="576" w:lineRule="exact"/>
        <w:ind w:firstLine="640" w:firstLineChars="200"/>
        <w:jc w:val="both"/>
        <w:outlineLvl w:val="1"/>
        <w:rPr>
          <w:rFonts w:hint="default" w:ascii="Nimbus Roman" w:hAnsi="Nimbus Roman" w:cs="Nimbus Roman"/>
          <w:color w:val="auto"/>
          <w:highlight w:val="none"/>
          <w:lang w:val="en-US" w:eastAsia="zh-CN"/>
        </w:rPr>
      </w:pPr>
      <w:r>
        <w:rPr>
          <w:rFonts w:hint="default" w:ascii="Nimbus Roman" w:hAnsi="Nimbus Roman" w:cs="Nimbus Roman"/>
          <w:color w:val="auto"/>
          <w:highlight w:val="none"/>
          <w:lang w:val="en-US" w:eastAsia="zh-CN"/>
        </w:rPr>
        <w:t>1.2.1.5</w:t>
      </w:r>
      <w:r>
        <w:rPr>
          <w:rFonts w:hint="eastAsia" w:ascii="Nimbus Roman" w:hAnsi="Nimbus Roman" w:cs="Nimbus Roman"/>
          <w:color w:val="auto"/>
          <w:highlight w:val="none"/>
          <w:lang w:val="en-US" w:eastAsia="zh-CN"/>
        </w:rPr>
        <w:t xml:space="preserve"> </w:t>
      </w:r>
      <w:r>
        <w:rPr>
          <w:rFonts w:hint="default" w:ascii="Nimbus Roman" w:hAnsi="Nimbus Roman" w:cs="Nimbus Roman"/>
          <w:color w:val="auto"/>
          <w:highlight w:val="none"/>
          <w:lang w:val="en-US" w:eastAsia="zh-CN"/>
        </w:rPr>
        <w:t>申报企业未被国家医疗保障局或联盟地区</w:t>
      </w:r>
      <w:r>
        <w:rPr>
          <w:rFonts w:hint="default" w:ascii="Nimbus Roman" w:hAnsi="Nimbus Roman" w:eastAsia="FangSong_GB2312" w:cs="Nimbus Roman"/>
          <w:color w:val="auto"/>
          <w:spacing w:val="-1"/>
          <w:sz w:val="31"/>
          <w:szCs w:val="31"/>
        </w:rPr>
        <w:t>任一省（区、市）</w:t>
      </w:r>
      <w:r>
        <w:rPr>
          <w:rFonts w:hint="default" w:ascii="Nimbus Roman" w:hAnsi="Nimbus Roman" w:cs="Nimbus Roman"/>
          <w:color w:val="auto"/>
          <w:highlight w:val="none"/>
          <w:lang w:val="en-US" w:eastAsia="zh-CN"/>
        </w:rPr>
        <w:t>依据医药价格和招采信用评价制度评定为“严重失信”或“特别严重失信”等级，且未被列入当前《全国医药价格和招采失信企业风险警示名单》。申报企业曾被评定为“严重失信”或“特别严重失信”等级，但已按医药价格和招采信用评价制度有关规定完成信用修复且提供已完成信用修复的证明材料的，可正常参加本次集中带量采购。</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i w:val="0"/>
          <w:color w:val="auto"/>
          <w:sz w:val="32"/>
          <w:highlight w:val="none"/>
          <w:lang w:val="en-US" w:eastAsia="zh-CN"/>
        </w:rPr>
      </w:pPr>
      <w:bookmarkStart w:id="80" w:name="_Toc19938"/>
      <w:bookmarkStart w:id="81" w:name="_Toc19732"/>
      <w:bookmarkStart w:id="82" w:name="_Toc22354"/>
      <w:r>
        <w:rPr>
          <w:rFonts w:hint="default" w:ascii="Nimbus Roman" w:hAnsi="Nimbus Roman" w:cs="Nimbus Roman"/>
          <w:b w:val="0"/>
          <w:bCs w:val="0"/>
          <w:color w:val="auto"/>
          <w:highlight w:val="none"/>
          <w:lang w:val="en-US" w:eastAsia="zh-CN"/>
        </w:rPr>
        <w:t>1.2.1.6</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申报企业须承诺参与本次集中带量采购的产品符合相应竞价组要求，计算加成的产品具备对应的功能，各规格型号产品在采购周期内满足联盟地区实际采购需求。</w:t>
      </w:r>
      <w:bookmarkEnd w:id="80"/>
      <w:bookmarkEnd w:id="81"/>
      <w:bookmarkEnd w:id="8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83" w:name="_Toc178495845"/>
      <w:bookmarkStart w:id="84" w:name="_Toc6051"/>
      <w:bookmarkStart w:id="85" w:name="_Toc178993758"/>
      <w:bookmarkStart w:id="86" w:name="_Toc178178810"/>
      <w:bookmarkStart w:id="87" w:name="_Toc21270"/>
      <w:r>
        <w:rPr>
          <w:rFonts w:hint="default" w:ascii="Nimbus Roman" w:hAnsi="Nimbus Roman" w:eastAsia="仿宋_GB2312" w:cs="Nimbus Roman"/>
          <w:b w:val="0"/>
          <w:bCs w:val="0"/>
          <w:color w:val="auto"/>
          <w:highlight w:val="none"/>
          <w:lang w:val="en-US" w:eastAsia="zh-CN"/>
        </w:rPr>
        <w:t>1.2.2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申报产品资格要求</w:t>
      </w:r>
      <w:bookmarkEnd w:id="83"/>
      <w:bookmarkEnd w:id="84"/>
      <w:bookmarkEnd w:id="85"/>
      <w:bookmarkEnd w:id="86"/>
      <w:bookmarkEnd w:id="8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88" w:name="_Toc178993759"/>
      <w:bookmarkStart w:id="89" w:name="_Toc178495678"/>
      <w:bookmarkStart w:id="90" w:name="_Toc178455812"/>
      <w:bookmarkStart w:id="91" w:name="_Toc178495846"/>
      <w:bookmarkStart w:id="92" w:name="_Toc24380"/>
      <w:bookmarkStart w:id="93" w:name="_Toc30029"/>
      <w:bookmarkStart w:id="94" w:name="_Toc30355"/>
      <w:r>
        <w:rPr>
          <w:rFonts w:hint="default" w:ascii="Nimbus Roman" w:hAnsi="Nimbus Roman" w:cs="Nimbus Roman"/>
          <w:b w:val="0"/>
          <w:bCs w:val="0"/>
          <w:color w:val="auto"/>
          <w:highlight w:val="none"/>
          <w:lang w:val="en-US" w:eastAsia="zh-CN"/>
        </w:rPr>
        <w:t>1.2.2.1</w:t>
      </w:r>
      <w:bookmarkEnd w:id="88"/>
      <w:bookmarkEnd w:id="89"/>
      <w:bookmarkEnd w:id="90"/>
      <w:bookmarkEnd w:id="91"/>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申报产品应属于采购品种范围，并获得有效中华人民共和国医疗器械注册证。</w:t>
      </w:r>
      <w:bookmarkEnd w:id="92"/>
      <w:bookmarkEnd w:id="93"/>
      <w:bookmarkEnd w:id="9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95" w:name="_Toc25118"/>
      <w:bookmarkStart w:id="96" w:name="_Toc22023"/>
      <w:bookmarkStart w:id="97" w:name="_Toc1870"/>
      <w:r>
        <w:rPr>
          <w:rFonts w:hint="default" w:ascii="Nimbus Roman" w:hAnsi="Nimbus Roman" w:cs="Nimbus Roman"/>
          <w:b w:val="0"/>
          <w:bCs w:val="0"/>
          <w:color w:val="auto"/>
          <w:highlight w:val="none"/>
          <w:lang w:val="en-US" w:eastAsia="zh-CN"/>
        </w:rPr>
        <w:t>1.2.2.2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产品应当符合国家有关部门的质量标准要求，并按国家有关部门要求组织生产。申报产品在本次集中带量采购产品申报截止时间前两年内不存在省级（含）以上药品监督管理部门质量检验不合格情况，不存在因不符合医疗器械生产质量管理规范被药品监督管理部门处以暂停生产、进口、经营和使用等控制措施的情况。</w:t>
      </w:r>
      <w:bookmarkEnd w:id="95"/>
      <w:bookmarkEnd w:id="96"/>
      <w:bookmarkEnd w:id="97"/>
      <w:bookmarkStart w:id="98" w:name="_Toc18569"/>
      <w:bookmarkStart w:id="99" w:name="_Toc24392"/>
      <w:bookmarkStart w:id="100" w:name="_Toc8283"/>
      <w:bookmarkStart w:id="101" w:name="_Toc652"/>
      <w:bookmarkStart w:id="102" w:name="_Toc2583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采购周期与采购协议</w:t>
      </w:r>
      <w:bookmarkEnd w:id="98"/>
      <w:bookmarkEnd w:id="99"/>
      <w:bookmarkEnd w:id="100"/>
      <w:bookmarkEnd w:id="101"/>
      <w:bookmarkEnd w:id="102"/>
    </w:p>
    <w:p>
      <w:pPr>
        <w:pStyle w:val="8"/>
        <w:keepNext w:val="0"/>
        <w:keepLines w:val="0"/>
        <w:pageBreakBefore w:val="0"/>
        <w:widowControl w:val="0"/>
        <w:kinsoku/>
        <w:wordWrap/>
        <w:overflowPunct/>
        <w:topLinePunct w:val="0"/>
        <w:bidi w:val="0"/>
        <w:adjustRightInd/>
        <w:spacing w:before="0" w:line="576" w:lineRule="exact"/>
        <w:ind w:right="-112" w:rightChars="0" w:firstLine="640" w:firstLineChars="200"/>
        <w:jc w:val="both"/>
        <w:textAlignment w:val="auto"/>
        <w:outlineLvl w:val="2"/>
        <w:rPr>
          <w:rFonts w:hint="default" w:ascii="Nimbus Roman" w:hAnsi="Nimbus Roman" w:eastAsia="仿宋_GB2312" w:cs="Nimbus Roman"/>
          <w:b w:val="0"/>
          <w:bCs w:val="0"/>
          <w:color w:val="auto"/>
          <w:highlight w:val="none"/>
          <w:lang w:val="en-US" w:eastAsia="zh-CN"/>
        </w:rPr>
      </w:pPr>
      <w:bookmarkStart w:id="103" w:name="_Toc4960"/>
      <w:bookmarkStart w:id="104" w:name="_Toc20514"/>
      <w:bookmarkStart w:id="105" w:name="_Toc5984"/>
      <w:r>
        <w:rPr>
          <w:rFonts w:hint="default" w:ascii="Nimbus Roman" w:hAnsi="Nimbus Roman" w:eastAsia="仿宋_GB2312" w:cs="Nimbus Roman"/>
          <w:b w:val="0"/>
          <w:bCs w:val="0"/>
          <w:color w:val="auto"/>
          <w:highlight w:val="none"/>
          <w:lang w:val="en-US" w:eastAsia="zh-CN"/>
        </w:rPr>
        <w:t>1.3.1</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本次呼吸介入类医用耗材集中带量采购周期为2年，自中选结果实际执行之日起计算。采购周期满后，各联盟省份可视情况自行决定是否延长1年。</w:t>
      </w:r>
      <w:bookmarkEnd w:id="103"/>
      <w:bookmarkEnd w:id="104"/>
      <w:bookmarkEnd w:id="10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106" w:name="_Toc23002"/>
      <w:bookmarkStart w:id="107" w:name="_Toc3607"/>
      <w:bookmarkStart w:id="108" w:name="_Toc14059"/>
      <w:r>
        <w:rPr>
          <w:rFonts w:hint="default" w:ascii="Nimbus Roman" w:hAnsi="Nimbus Roman" w:cs="Nimbus Roman"/>
          <w:b w:val="0"/>
          <w:bCs w:val="0"/>
          <w:color w:val="auto"/>
          <w:highlight w:val="none"/>
          <w:lang w:val="en-US" w:eastAsia="zh-CN"/>
        </w:rPr>
        <w:t>1.3.2</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采购周期内，联盟省份可视情况决定采购协议签订方式，采购协议可每年一签，也可签约至采购周期结束，同时在采购协议中明确每年协议采购量等相关内容，原则上中选品种年协议采购量不少于首年协议采购量。</w:t>
      </w:r>
      <w:bookmarkEnd w:id="106"/>
      <w:bookmarkEnd w:id="10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109" w:name="_Toc14282"/>
      <w:bookmarkStart w:id="110" w:name="_Toc24950"/>
      <w:r>
        <w:rPr>
          <w:rFonts w:hint="default" w:ascii="Nimbus Roman" w:hAnsi="Nimbus Roman" w:cs="Nimbus Roman"/>
          <w:b w:val="0"/>
          <w:bCs w:val="0"/>
          <w:color w:val="auto"/>
          <w:highlight w:val="none"/>
          <w:lang w:val="en-US" w:eastAsia="zh-CN"/>
        </w:rPr>
        <w:t>1.3.3</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采购周期内，联采办不再重新组织需求量填报。医疗机构因特殊原因下调采购量的，须向辖区医保部门提交书面说明材料及需调整的采购量，经联盟省份省级医保部门审核同意后予以调整。</w:t>
      </w:r>
      <w:bookmarkEnd w:id="109"/>
      <w:bookmarkEnd w:id="11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111" w:name="_Toc2955"/>
      <w:bookmarkStart w:id="112" w:name="_Toc6695"/>
      <w:r>
        <w:rPr>
          <w:rFonts w:hint="default" w:ascii="Nimbus Roman" w:hAnsi="Nimbus Roman" w:cs="Nimbus Roman"/>
          <w:b w:val="0"/>
          <w:bCs w:val="0"/>
          <w:color w:val="auto"/>
          <w:highlight w:val="none"/>
          <w:lang w:val="en-US" w:eastAsia="zh-CN"/>
        </w:rPr>
        <w:t>1.3.4</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采购周期内医疗机构完成协议采购量后，超出协议采购量的部分，中选企业仍需按中选价格进行供应，直至采购周期届满。</w:t>
      </w:r>
      <w:bookmarkEnd w:id="108"/>
      <w:bookmarkEnd w:id="111"/>
      <w:bookmarkEnd w:id="112"/>
      <w:bookmarkStart w:id="113" w:name="_Toc21427"/>
      <w:bookmarkStart w:id="114" w:name="_Toc14904"/>
      <w:bookmarkStart w:id="115" w:name="_Toc6563"/>
      <w:bookmarkStart w:id="116" w:name="_Toc4226"/>
      <w:bookmarkStart w:id="117" w:name="_Toc359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1.4</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采购执行说明</w:t>
      </w:r>
      <w:bookmarkEnd w:id="113"/>
      <w:bookmarkEnd w:id="114"/>
      <w:bookmarkEnd w:id="115"/>
      <w:bookmarkEnd w:id="116"/>
      <w:bookmarkEnd w:id="11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18" w:name="_Toc577"/>
      <w:bookmarkStart w:id="119" w:name="_Toc18322"/>
      <w:bookmarkStart w:id="120" w:name="_Toc15529"/>
      <w:r>
        <w:rPr>
          <w:rFonts w:hint="default" w:ascii="Nimbus Roman" w:hAnsi="Nimbus Roman" w:cs="Nimbus Roman"/>
          <w:b w:val="0"/>
          <w:bCs w:val="0"/>
          <w:color w:val="auto"/>
          <w:sz w:val="32"/>
          <w:szCs w:val="32"/>
          <w:highlight w:val="none"/>
          <w:lang w:val="en-US" w:eastAsia="zh-CN"/>
        </w:rPr>
        <w:t>1.4.1</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采购周期内，医疗机构应优先采购和使用本次集中带量采购中选产品，并确保完成协议采购量。协议采购量按各医疗机构报送采购需求量的80%</w:t>
      </w:r>
      <w:r>
        <w:rPr>
          <w:rFonts w:hint="default" w:ascii="Nimbus Roman" w:hAnsi="Nimbus Roman" w:eastAsia="仿宋_GB2312" w:cs="Nimbus Roman"/>
          <w:color w:val="auto"/>
          <w:spacing w:val="4"/>
          <w:sz w:val="32"/>
          <w:szCs w:val="32"/>
        </w:rPr>
        <w:t>（如</w:t>
      </w:r>
      <w:r>
        <w:rPr>
          <w:rFonts w:hint="default" w:ascii="Nimbus Roman" w:hAnsi="Nimbus Roman" w:eastAsia="仿宋_GB2312" w:cs="Nimbus Roman"/>
          <w:color w:val="auto"/>
          <w:spacing w:val="10"/>
          <w:sz w:val="32"/>
          <w:szCs w:val="32"/>
        </w:rPr>
        <w:t>出现非整数则向上取整至个位）</w:t>
      </w:r>
      <w:r>
        <w:rPr>
          <w:rFonts w:hint="default" w:ascii="Nimbus Roman" w:hAnsi="Nimbus Roman" w:eastAsia="仿宋_GB2312" w:cs="Nimbus Roman"/>
          <w:b w:val="0"/>
          <w:bCs w:val="0"/>
          <w:color w:val="auto"/>
          <w:sz w:val="32"/>
          <w:szCs w:val="32"/>
          <w:highlight w:val="none"/>
          <w:lang w:val="en-US" w:eastAsia="zh-CN"/>
        </w:rPr>
        <w:t>确定</w:t>
      </w:r>
      <w:r>
        <w:rPr>
          <w:rFonts w:hint="default" w:ascii="Nimbus Roman" w:hAnsi="Nimbus Roman" w:cs="Nimbus Roman"/>
          <w:b w:val="0"/>
          <w:bCs w:val="0"/>
          <w:color w:val="auto"/>
          <w:sz w:val="32"/>
          <w:szCs w:val="32"/>
          <w:highlight w:val="none"/>
          <w:lang w:val="en-US" w:eastAsia="zh-CN"/>
        </w:rPr>
        <w:t>，医疗机构采购非中选产品的数量占比控制要求参照各联盟省份现行政策执行，原则上不得超过同类别产品采购总量的20%</w:t>
      </w:r>
      <w:r>
        <w:rPr>
          <w:rFonts w:hint="default" w:ascii="Nimbus Roman" w:hAnsi="Nimbus Roman" w:eastAsia="仿宋_GB2312" w:cs="Nimbus Roman"/>
          <w:b w:val="0"/>
          <w:bCs w:val="0"/>
          <w:color w:val="auto"/>
          <w:sz w:val="32"/>
          <w:szCs w:val="32"/>
          <w:highlight w:val="none"/>
          <w:lang w:val="en-US" w:eastAsia="zh-CN"/>
        </w:rPr>
        <w:t>。</w:t>
      </w:r>
      <w:bookmarkEnd w:id="118"/>
      <w:bookmarkEnd w:id="119"/>
      <w:bookmarkEnd w:id="12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21" w:name="_Toc8815"/>
      <w:bookmarkStart w:id="122" w:name="_Toc11164"/>
      <w:r>
        <w:rPr>
          <w:rFonts w:hint="default" w:ascii="Nimbus Roman" w:hAnsi="Nimbus Roman" w:cs="Nimbus Roman"/>
          <w:b w:val="0"/>
          <w:bCs w:val="0"/>
          <w:color w:val="auto"/>
          <w:sz w:val="32"/>
          <w:szCs w:val="32"/>
          <w:highlight w:val="none"/>
          <w:lang w:val="en-US" w:eastAsia="zh-CN"/>
        </w:rPr>
        <w:t>1.4.2</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采购周期内，医疗机</w:t>
      </w:r>
      <w:r>
        <w:rPr>
          <w:rFonts w:hint="default" w:ascii="Nimbus Roman" w:hAnsi="Nimbus Roman" w:cs="Nimbus Roman"/>
          <w:b w:val="0"/>
          <w:bCs w:val="0"/>
          <w:color w:val="auto"/>
          <w:sz w:val="32"/>
          <w:szCs w:val="32"/>
          <w:highlight w:val="none"/>
          <w:lang w:val="en-US" w:eastAsia="zh-CN"/>
        </w:rPr>
        <w:t>构及</w:t>
      </w:r>
      <w:r>
        <w:rPr>
          <w:rFonts w:hint="default" w:ascii="Nimbus Roman" w:hAnsi="Nimbus Roman" w:eastAsia="仿宋_GB2312" w:cs="Nimbus Roman"/>
          <w:b w:val="0"/>
          <w:bCs w:val="0"/>
          <w:color w:val="auto"/>
          <w:sz w:val="32"/>
          <w:szCs w:val="32"/>
          <w:highlight w:val="none"/>
          <w:lang w:val="en-US" w:eastAsia="zh-CN"/>
        </w:rPr>
        <w:t>其医务人员应当按照诊疗规范、操作指南、医疗器械使用说明书等使用中选产品，遵守医疗器械适用范围、</w:t>
      </w:r>
      <w:r>
        <w:rPr>
          <w:rFonts w:hint="default" w:ascii="Nimbus Roman" w:hAnsi="Nimbus Roman" w:cs="Nimbus Roman"/>
          <w:b w:val="0"/>
          <w:bCs w:val="0"/>
          <w:color w:val="auto"/>
          <w:sz w:val="32"/>
          <w:szCs w:val="32"/>
          <w:highlight w:val="none"/>
          <w:lang w:val="en-US" w:eastAsia="zh-CN"/>
        </w:rPr>
        <w:t>禁忌证</w:t>
      </w:r>
      <w:r>
        <w:rPr>
          <w:rFonts w:hint="default" w:ascii="Nimbus Roman" w:hAnsi="Nimbus Roman" w:eastAsia="仿宋_GB2312" w:cs="Nimbus Roman"/>
          <w:b w:val="0"/>
          <w:bCs w:val="0"/>
          <w:color w:val="auto"/>
          <w:sz w:val="32"/>
          <w:szCs w:val="32"/>
          <w:highlight w:val="none"/>
          <w:lang w:val="en-US" w:eastAsia="zh-CN"/>
        </w:rPr>
        <w:t>及注意事项。</w:t>
      </w:r>
      <w:bookmarkEnd w:id="121"/>
      <w:bookmarkEnd w:id="12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23" w:name="_Toc26206"/>
      <w:bookmarkStart w:id="124" w:name="_Toc29257"/>
      <w:bookmarkStart w:id="125" w:name="_Toc16007"/>
      <w:r>
        <w:rPr>
          <w:rFonts w:hint="default" w:ascii="Nimbus Roman" w:hAnsi="Nimbus Roman" w:cs="Nimbus Roman"/>
          <w:b w:val="0"/>
          <w:bCs w:val="0"/>
          <w:color w:val="auto"/>
          <w:sz w:val="32"/>
          <w:szCs w:val="32"/>
          <w:highlight w:val="none"/>
          <w:lang w:val="en-US" w:eastAsia="zh-CN"/>
        </w:rPr>
        <w:t>1.4.3</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cs="Nimbus Roman"/>
          <w:b w:val="0"/>
          <w:bCs w:val="0"/>
          <w:color w:val="auto"/>
          <w:sz w:val="32"/>
          <w:szCs w:val="32"/>
          <w:highlight w:val="none"/>
          <w:lang w:val="en-US" w:eastAsia="zh-CN"/>
        </w:rPr>
        <w:t>采购周期内，</w:t>
      </w:r>
      <w:r>
        <w:rPr>
          <w:rFonts w:hint="default" w:ascii="Nimbus Roman" w:hAnsi="Nimbus Roman" w:cs="Nimbus Roman"/>
          <w:color w:val="auto"/>
          <w:highlight w:val="none"/>
          <w:lang w:val="en-US"/>
        </w:rPr>
        <w:t>若医疗机构与中选企业在本通知发布前已有实际交易采购记录，且同一规格型号产品价格低于中选价格的，经医疗机构、配送企业协商</w:t>
      </w:r>
      <w:r>
        <w:rPr>
          <w:rFonts w:hint="default" w:ascii="Nimbus Roman" w:hAnsi="Nimbus Roman" w:cs="Nimbus Roman"/>
          <w:color w:val="auto"/>
          <w:highlight w:val="none"/>
          <w:lang w:val="en-US" w:eastAsia="zh-CN"/>
        </w:rPr>
        <w:t>同意</w:t>
      </w:r>
      <w:r>
        <w:rPr>
          <w:rFonts w:hint="default" w:ascii="Nimbus Roman" w:hAnsi="Nimbus Roman" w:cs="Nimbus Roman"/>
          <w:color w:val="auto"/>
          <w:highlight w:val="none"/>
          <w:lang w:val="en-US"/>
        </w:rPr>
        <w:t>，该医疗机构可继续执行原低价采购</w:t>
      </w:r>
      <w:r>
        <w:rPr>
          <w:rFonts w:hint="default" w:ascii="Nimbus Roman" w:hAnsi="Nimbus Roman" w:cs="Nimbus Roman"/>
          <w:color w:val="auto"/>
          <w:highlight w:val="none"/>
          <w:lang w:val="en-US" w:eastAsia="zh-CN"/>
        </w:rPr>
        <w:t>。</w:t>
      </w:r>
      <w:r>
        <w:rPr>
          <w:rFonts w:hint="default" w:ascii="Nimbus Roman" w:hAnsi="Nimbus Roman" w:cs="Nimbus Roman"/>
          <w:color w:val="auto"/>
          <w:highlight w:val="none"/>
          <w:lang w:val="en-US"/>
        </w:rPr>
        <w:t>该低价不</w:t>
      </w:r>
      <w:r>
        <w:rPr>
          <w:rFonts w:hint="default" w:ascii="Nimbus Roman" w:hAnsi="Nimbus Roman" w:cs="Nimbus Roman"/>
          <w:color w:val="auto"/>
          <w:highlight w:val="none"/>
          <w:lang w:val="en-US" w:eastAsia="zh-CN"/>
        </w:rPr>
        <w:t>执行</w:t>
      </w:r>
      <w:r>
        <w:rPr>
          <w:rFonts w:hint="default" w:ascii="Nimbus Roman" w:hAnsi="Nimbus Roman" w:cs="Nimbus Roman"/>
          <w:color w:val="auto"/>
          <w:highlight w:val="none"/>
          <w:lang w:val="en-US"/>
        </w:rPr>
        <w:t>价格联动</w:t>
      </w:r>
      <w:r>
        <w:rPr>
          <w:rFonts w:hint="default" w:ascii="Nimbus Roman" w:hAnsi="Nimbus Roman" w:cs="Nimbus Roman"/>
          <w:color w:val="auto"/>
          <w:highlight w:val="none"/>
          <w:lang w:val="en-US" w:eastAsia="zh-CN"/>
        </w:rPr>
        <w:t>。</w:t>
      </w:r>
    </w:p>
    <w:bookmarkEnd w:id="123"/>
    <w:bookmarkEnd w:id="124"/>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26" w:name="_Toc19317"/>
      <w:bookmarkStart w:id="127" w:name="_Toc24298"/>
      <w:r>
        <w:rPr>
          <w:rFonts w:hint="default" w:ascii="Nimbus Roman" w:hAnsi="Nimbus Roman" w:cs="Nimbus Roman"/>
          <w:b w:val="0"/>
          <w:bCs w:val="0"/>
          <w:color w:val="auto"/>
          <w:sz w:val="32"/>
          <w:szCs w:val="32"/>
          <w:highlight w:val="none"/>
          <w:lang w:val="en-US" w:eastAsia="zh-CN"/>
        </w:rPr>
        <w:t>1.4.4</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采购周期内，中选产品的挂网、供应、采购、使用、收费</w:t>
      </w:r>
      <w:r>
        <w:rPr>
          <w:rFonts w:hint="default" w:ascii="Nimbus Roman" w:hAnsi="Nimbus Roman" w:cs="Nimbus Roman"/>
          <w:b w:val="0"/>
          <w:bCs w:val="0"/>
          <w:color w:val="auto"/>
          <w:sz w:val="32"/>
          <w:szCs w:val="32"/>
          <w:highlight w:val="none"/>
          <w:lang w:val="en-US" w:eastAsia="zh-CN"/>
        </w:rPr>
        <w:t>、</w:t>
      </w:r>
      <w:r>
        <w:rPr>
          <w:rFonts w:hint="default" w:ascii="Nimbus Roman" w:hAnsi="Nimbus Roman" w:eastAsia="仿宋_GB2312" w:cs="Nimbus Roman"/>
          <w:b w:val="0"/>
          <w:bCs w:val="0"/>
          <w:color w:val="auto"/>
          <w:sz w:val="32"/>
          <w:szCs w:val="32"/>
          <w:highlight w:val="none"/>
          <w:lang w:val="en-US" w:eastAsia="zh-CN"/>
        </w:rPr>
        <w:t>结算及</w:t>
      </w:r>
      <w:r>
        <w:rPr>
          <w:rFonts w:hint="default" w:ascii="Nimbus Roman" w:hAnsi="Nimbus Roman" w:cs="Nimbus Roman"/>
          <w:b w:val="0"/>
          <w:bCs w:val="0"/>
          <w:color w:val="auto"/>
          <w:sz w:val="32"/>
          <w:szCs w:val="32"/>
          <w:highlight w:val="none"/>
          <w:lang w:val="en-US" w:eastAsia="zh-CN"/>
        </w:rPr>
        <w:t>报销政策，</w:t>
      </w:r>
      <w:r>
        <w:rPr>
          <w:rFonts w:hint="default" w:ascii="Nimbus Roman" w:hAnsi="Nimbus Roman" w:eastAsia="仿宋_GB2312" w:cs="Nimbus Roman"/>
          <w:b w:val="0"/>
          <w:bCs w:val="0"/>
          <w:color w:val="auto"/>
          <w:sz w:val="32"/>
          <w:szCs w:val="32"/>
          <w:highlight w:val="none"/>
          <w:lang w:val="en-US" w:eastAsia="zh-CN"/>
        </w:rPr>
        <w:t>各联盟省份</w:t>
      </w:r>
      <w:r>
        <w:rPr>
          <w:rFonts w:hint="default" w:ascii="Nimbus Roman" w:hAnsi="Nimbus Roman" w:cs="Nimbus Roman"/>
          <w:b w:val="0"/>
          <w:bCs w:val="0"/>
          <w:color w:val="auto"/>
          <w:sz w:val="32"/>
          <w:szCs w:val="32"/>
          <w:highlight w:val="none"/>
          <w:lang w:val="en-US" w:eastAsia="zh-CN"/>
        </w:rPr>
        <w:t>按照本省</w:t>
      </w:r>
      <w:r>
        <w:rPr>
          <w:rFonts w:hint="default" w:ascii="Nimbus Roman" w:hAnsi="Nimbus Roman" w:eastAsia="仿宋_GB2312" w:cs="Nimbus Roman"/>
          <w:b w:val="0"/>
          <w:bCs w:val="0"/>
          <w:color w:val="auto"/>
          <w:sz w:val="32"/>
          <w:szCs w:val="32"/>
          <w:highlight w:val="none"/>
          <w:lang w:val="en-US" w:eastAsia="zh-CN"/>
        </w:rPr>
        <w:t>政策规定执行</w:t>
      </w:r>
      <w:r>
        <w:rPr>
          <w:rFonts w:hint="default" w:ascii="Nimbus Roman" w:hAnsi="Nimbus Roman" w:cs="Nimbus Roman"/>
          <w:b w:val="0"/>
          <w:bCs w:val="0"/>
          <w:color w:val="auto"/>
          <w:sz w:val="32"/>
          <w:szCs w:val="32"/>
          <w:highlight w:val="none"/>
          <w:lang w:val="en-US" w:eastAsia="zh-CN"/>
        </w:rPr>
        <w:t>，联采办推荐</w:t>
      </w:r>
      <w:r>
        <w:rPr>
          <w:rFonts w:hint="default" w:ascii="Nimbus Roman" w:hAnsi="Nimbus Roman" w:eastAsia="仿宋_GB2312" w:cs="Nimbus Roman"/>
          <w:b w:val="0"/>
          <w:bCs w:val="0"/>
          <w:color w:val="auto"/>
          <w:sz w:val="32"/>
          <w:szCs w:val="32"/>
          <w:highlight w:val="none"/>
          <w:lang w:val="en-US" w:eastAsia="zh-CN"/>
        </w:rPr>
        <w:t>各联盟省份</w:t>
      </w:r>
      <w:r>
        <w:rPr>
          <w:rFonts w:hint="default" w:ascii="Nimbus Roman" w:hAnsi="Nimbus Roman" w:cs="Nimbus Roman"/>
          <w:b w:val="0"/>
          <w:bCs w:val="0"/>
          <w:color w:val="auto"/>
          <w:sz w:val="32"/>
          <w:szCs w:val="32"/>
          <w:highlight w:val="none"/>
          <w:lang w:val="en-US" w:eastAsia="zh-CN"/>
        </w:rPr>
        <w:t>依程序将此次集采中选产品纳入可收费耗材目录和医保目录</w:t>
      </w:r>
      <w:r>
        <w:rPr>
          <w:rFonts w:hint="default" w:ascii="Nimbus Roman" w:hAnsi="Nimbus Roman" w:eastAsia="仿宋_GB2312" w:cs="Nimbus Roman"/>
          <w:b w:val="0"/>
          <w:bCs w:val="0"/>
          <w:color w:val="auto"/>
          <w:sz w:val="32"/>
          <w:szCs w:val="32"/>
          <w:highlight w:val="none"/>
          <w:lang w:val="en-US" w:eastAsia="zh-CN"/>
        </w:rPr>
        <w:t>。</w:t>
      </w:r>
      <w:bookmarkEnd w:id="126"/>
      <w:bookmarkEnd w:id="127"/>
    </w:p>
    <w:bookmarkEnd w:id="125"/>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bookmarkStart w:id="128" w:name="_Toc8811"/>
      <w:bookmarkStart w:id="129" w:name="_Toc6150"/>
      <w:bookmarkStart w:id="130" w:name="_Toc9153"/>
      <w:r>
        <w:rPr>
          <w:rFonts w:hint="default" w:ascii="Nimbus Roman" w:hAnsi="Nimbus Roman" w:cs="Nimbus Roman"/>
          <w:b w:val="0"/>
          <w:bCs w:val="0"/>
          <w:color w:val="auto"/>
          <w:sz w:val="32"/>
          <w:szCs w:val="32"/>
          <w:highlight w:val="none"/>
          <w:lang w:val="en-US" w:eastAsia="zh-CN"/>
        </w:rPr>
        <w:t>1.4.5</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采购周期内，如中选产品注册证</w:t>
      </w:r>
      <w:r>
        <w:rPr>
          <w:rFonts w:hint="default" w:ascii="Nimbus Roman" w:hAnsi="Nimbus Roman" w:cs="Nimbus Roman"/>
          <w:b w:val="0"/>
          <w:bCs w:val="0"/>
          <w:color w:val="auto"/>
          <w:sz w:val="32"/>
          <w:szCs w:val="32"/>
          <w:highlight w:val="none"/>
          <w:lang w:val="en-US" w:eastAsia="zh-CN"/>
        </w:rPr>
        <w:t>、医保耗材分类编码</w:t>
      </w:r>
      <w:r>
        <w:rPr>
          <w:rFonts w:hint="default" w:ascii="Nimbus Roman" w:hAnsi="Nimbus Roman" w:eastAsia="仿宋_GB2312" w:cs="Nimbus Roman"/>
          <w:b w:val="0"/>
          <w:bCs w:val="0"/>
          <w:color w:val="auto"/>
          <w:sz w:val="32"/>
          <w:szCs w:val="32"/>
          <w:highlight w:val="none"/>
          <w:lang w:val="en-US" w:eastAsia="zh-CN"/>
        </w:rPr>
        <w:t>更新，中选资格及中选价格维持不变。</w:t>
      </w:r>
      <w:bookmarkEnd w:id="128"/>
      <w:bookmarkEnd w:id="129"/>
    </w:p>
    <w:bookmarkEnd w:id="130"/>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sz w:val="32"/>
          <w:szCs w:val="32"/>
          <w:highlight w:val="none"/>
          <w:lang w:val="en-US" w:eastAsia="zh-CN"/>
        </w:rPr>
      </w:pPr>
      <w:bookmarkStart w:id="131" w:name="_Toc4384"/>
      <w:bookmarkStart w:id="132" w:name="_Toc9690"/>
      <w:bookmarkStart w:id="133" w:name="_Toc17678"/>
      <w:r>
        <w:rPr>
          <w:rFonts w:hint="default" w:ascii="Nimbus Roman" w:hAnsi="Nimbus Roman" w:cs="Nimbus Roman"/>
          <w:b w:val="0"/>
          <w:bCs w:val="0"/>
          <w:color w:val="auto"/>
          <w:sz w:val="32"/>
          <w:szCs w:val="32"/>
          <w:highlight w:val="none"/>
          <w:lang w:val="en-US" w:eastAsia="zh-CN"/>
        </w:rPr>
        <w:t>1.4.6</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cs="Nimbus Roman"/>
          <w:b w:val="0"/>
          <w:bCs w:val="0"/>
          <w:color w:val="auto"/>
          <w:sz w:val="32"/>
          <w:szCs w:val="32"/>
          <w:highlight w:val="none"/>
          <w:lang w:val="en-US" w:eastAsia="zh-CN"/>
        </w:rPr>
        <w:t>采购周期内，境外企业中选后在国内设厂生产，并取得同产品类别医疗器械注册证的，若该注册证备注栏中载明已获准注册的进口产品医疗器械注册证号，则该国产产品与进口产品视为同一产品。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yellow"/>
          <w:lang w:val="en-US" w:eastAsia="zh-CN"/>
        </w:rPr>
      </w:pPr>
      <w:r>
        <w:rPr>
          <w:rFonts w:hint="default" w:ascii="Nimbus Roman" w:hAnsi="Nimbus Roman" w:cs="Nimbus Roman"/>
          <w:b w:val="0"/>
          <w:bCs w:val="0"/>
          <w:color w:val="auto"/>
          <w:sz w:val="32"/>
          <w:szCs w:val="32"/>
          <w:highlight w:val="none"/>
          <w:lang w:val="en-US" w:eastAsia="zh-CN"/>
        </w:rPr>
        <w:t>1.4.7</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cs="Nimbus Roman"/>
          <w:b w:val="0"/>
          <w:bCs w:val="0"/>
          <w:color w:val="auto"/>
          <w:sz w:val="32"/>
          <w:szCs w:val="32"/>
          <w:highlight w:val="none"/>
          <w:lang w:val="en-US" w:eastAsia="zh-CN"/>
        </w:rPr>
        <w:t>符合以下情形之一的新增产品，</w:t>
      </w:r>
      <w:r>
        <w:rPr>
          <w:rFonts w:hint="default" w:ascii="Nimbus Roman" w:hAnsi="Nimbus Roman" w:eastAsia="仿宋_GB2312" w:cs="Nimbus Roman"/>
          <w:b w:val="0"/>
          <w:bCs w:val="0"/>
          <w:color w:val="auto"/>
          <w:sz w:val="32"/>
          <w:szCs w:val="32"/>
          <w:highlight w:val="none"/>
          <w:lang w:val="en-US" w:eastAsia="zh-CN"/>
        </w:rPr>
        <w:t>联采办定期受理</w:t>
      </w:r>
      <w:r>
        <w:rPr>
          <w:rFonts w:hint="default" w:ascii="Nimbus Roman" w:hAnsi="Nimbus Roman" w:cs="Nimbus Roman"/>
          <w:b w:val="0"/>
          <w:bCs w:val="0"/>
          <w:color w:val="auto"/>
          <w:sz w:val="32"/>
          <w:szCs w:val="32"/>
          <w:highlight w:val="none"/>
          <w:lang w:val="en-US" w:eastAsia="zh-CN"/>
        </w:rPr>
        <w:t>新增</w:t>
      </w:r>
      <w:r>
        <w:rPr>
          <w:rFonts w:hint="default" w:ascii="Nimbus Roman" w:hAnsi="Nimbus Roman" w:eastAsia="仿宋_GB2312" w:cs="Nimbus Roman"/>
          <w:b w:val="0"/>
          <w:bCs w:val="0"/>
          <w:color w:val="auto"/>
          <w:sz w:val="32"/>
          <w:szCs w:val="32"/>
          <w:highlight w:val="none"/>
          <w:lang w:val="en-US" w:eastAsia="zh-CN"/>
        </w:rPr>
        <w:t>申请</w:t>
      </w:r>
      <w:r>
        <w:rPr>
          <w:rFonts w:hint="default" w:ascii="Nimbus Roman" w:hAnsi="Nimbus Roman" w:cs="Nimbus Roman"/>
          <w:b w:val="0"/>
          <w:bCs w:val="0"/>
          <w:color w:val="auto"/>
          <w:sz w:val="32"/>
          <w:szCs w:val="32"/>
          <w:highlight w:val="none"/>
          <w:lang w:val="en-US" w:eastAsia="zh-CN"/>
        </w:rPr>
        <w:t>，审核通过后</w:t>
      </w:r>
      <w:r>
        <w:rPr>
          <w:rFonts w:hint="default" w:ascii="Nimbus Roman" w:hAnsi="Nimbus Roman" w:eastAsia="仿宋_GB2312" w:cs="Nimbus Roman"/>
          <w:b w:val="0"/>
          <w:bCs w:val="0"/>
          <w:color w:val="auto"/>
          <w:sz w:val="32"/>
          <w:szCs w:val="32"/>
          <w:highlight w:val="none"/>
          <w:lang w:val="en-US" w:eastAsia="zh-CN"/>
        </w:rPr>
        <w:t>推送至各联盟省份，按各省挂网规定予以挂网。</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r>
        <w:rPr>
          <w:rFonts w:hint="default" w:ascii="Nimbus Roman" w:hAnsi="Nimbus Roman" w:cs="Nimbus Roman"/>
          <w:b w:val="0"/>
          <w:bCs w:val="0"/>
          <w:color w:val="auto"/>
          <w:sz w:val="32"/>
          <w:szCs w:val="32"/>
          <w:highlight w:val="none"/>
          <w:lang w:val="en-US" w:eastAsia="zh-CN"/>
        </w:rPr>
        <w:t>1.4.7.1</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采购周期内，中选企业</w:t>
      </w:r>
      <w:r>
        <w:rPr>
          <w:rFonts w:hint="default" w:ascii="Nimbus Roman" w:hAnsi="Nimbus Roman" w:cs="Nimbus Roman"/>
          <w:b w:val="0"/>
          <w:bCs w:val="0"/>
          <w:color w:val="auto"/>
          <w:sz w:val="32"/>
          <w:szCs w:val="32"/>
          <w:highlight w:val="none"/>
          <w:lang w:val="en-US" w:eastAsia="zh-CN"/>
        </w:rPr>
        <w:t>新增产品</w:t>
      </w:r>
      <w:r>
        <w:rPr>
          <w:rFonts w:hint="default" w:ascii="Nimbus Roman" w:hAnsi="Nimbus Roman" w:eastAsia="仿宋_GB2312" w:cs="Nimbus Roman"/>
          <w:b w:val="0"/>
          <w:bCs w:val="0"/>
          <w:color w:val="auto"/>
          <w:sz w:val="32"/>
          <w:szCs w:val="32"/>
          <w:highlight w:val="none"/>
          <w:lang w:val="en-US" w:eastAsia="zh-CN"/>
        </w:rPr>
        <w:t>接受该企业</w:t>
      </w:r>
      <w:r>
        <w:rPr>
          <w:rFonts w:hint="default" w:ascii="Nimbus Roman" w:hAnsi="Nimbus Roman" w:cs="Nimbus Roman"/>
          <w:b w:val="0"/>
          <w:bCs w:val="0"/>
          <w:color w:val="auto"/>
          <w:sz w:val="32"/>
          <w:szCs w:val="32"/>
          <w:highlight w:val="none"/>
          <w:lang w:val="en-US" w:eastAsia="zh-CN"/>
        </w:rPr>
        <w:t>已中选</w:t>
      </w:r>
      <w:r>
        <w:rPr>
          <w:rFonts w:hint="default" w:ascii="Nimbus Roman" w:hAnsi="Nimbus Roman" w:eastAsia="仿宋_GB2312" w:cs="Nimbus Roman"/>
          <w:b w:val="0"/>
          <w:bCs w:val="0"/>
          <w:color w:val="auto"/>
          <w:sz w:val="32"/>
          <w:szCs w:val="32"/>
          <w:highlight w:val="none"/>
          <w:lang w:val="en-US" w:eastAsia="zh-CN"/>
        </w:rPr>
        <w:t>竞价组的中选价</w:t>
      </w:r>
      <w:r>
        <w:rPr>
          <w:rFonts w:hint="default" w:ascii="Nimbus Roman" w:hAnsi="Nimbus Roman" w:cs="Nimbus Roman"/>
          <w:b w:val="0"/>
          <w:bCs w:val="0"/>
          <w:color w:val="auto"/>
          <w:sz w:val="32"/>
          <w:szCs w:val="32"/>
          <w:highlight w:val="none"/>
          <w:lang w:val="en-US" w:eastAsia="zh-CN"/>
        </w:rPr>
        <w:t>（允许计算加成）</w:t>
      </w:r>
      <w:r>
        <w:rPr>
          <w:rFonts w:hint="default" w:ascii="Nimbus Roman" w:hAnsi="Nimbus Roman" w:eastAsia="仿宋_GB2312" w:cs="Nimbus Roman"/>
          <w:b w:val="0"/>
          <w:bCs w:val="0"/>
          <w:color w:val="auto"/>
          <w:sz w:val="32"/>
          <w:szCs w:val="32"/>
          <w:highlight w:val="none"/>
          <w:lang w:val="en-US" w:eastAsia="zh-CN"/>
        </w:rPr>
        <w:t>，中选企业可向联采办提交申请，相关产品可作为中选产品执行，其协议采购量为0。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sz w:val="32"/>
          <w:szCs w:val="32"/>
          <w:highlight w:val="none"/>
          <w:lang w:val="en-US" w:eastAsia="zh-CN"/>
        </w:rPr>
      </w:pPr>
      <w:r>
        <w:rPr>
          <w:rFonts w:hint="default" w:ascii="Nimbus Roman" w:hAnsi="Nimbus Roman" w:cs="Nimbus Roman"/>
          <w:b w:val="0"/>
          <w:bCs w:val="0"/>
          <w:color w:val="auto"/>
          <w:sz w:val="32"/>
          <w:szCs w:val="32"/>
          <w:highlight w:val="none"/>
          <w:lang w:val="en-US" w:eastAsia="zh-CN"/>
        </w:rPr>
        <w:t>1.4.7.2</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cs="Nimbus Roman"/>
          <w:b w:val="0"/>
          <w:bCs w:val="0"/>
          <w:color w:val="auto"/>
          <w:sz w:val="32"/>
          <w:szCs w:val="32"/>
          <w:highlight w:val="none"/>
          <w:lang w:val="en-US" w:eastAsia="zh-CN"/>
        </w:rPr>
        <w:t>中选企业未中选竞价组产品、非中选企业产品接受同竞价组最低中选价格（允许计算加成），相关产品可作为中选产品执行，其协议采购量为0。</w:t>
      </w:r>
    </w:p>
    <w:bookmarkEnd w:id="131"/>
    <w:bookmarkEnd w:id="132"/>
    <w:bookmarkEnd w:id="133"/>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34" w:name="_Toc17985"/>
      <w:bookmarkStart w:id="135" w:name="_Toc11727"/>
      <w:bookmarkStart w:id="136" w:name="_Toc22355"/>
      <w:r>
        <w:rPr>
          <w:rFonts w:hint="default" w:ascii="Nimbus Roman" w:hAnsi="Nimbus Roman" w:cs="Nimbus Roman"/>
          <w:b w:val="0"/>
          <w:bCs w:val="0"/>
          <w:color w:val="auto"/>
          <w:sz w:val="32"/>
          <w:szCs w:val="32"/>
          <w:highlight w:val="none"/>
          <w:lang w:val="en-US" w:eastAsia="zh-CN"/>
        </w:rPr>
        <w:t>1.4.8</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采购周期内，医疗机构采购同企业同产品类别的不同规格型号的产品，可合并计算协议采购量。</w:t>
      </w:r>
      <w:bookmarkEnd w:id="134"/>
      <w:bookmarkEnd w:id="135"/>
      <w:bookmarkEnd w:id="13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bookmarkStart w:id="137" w:name="_Toc15252"/>
      <w:bookmarkStart w:id="138" w:name="_Toc29280"/>
      <w:r>
        <w:rPr>
          <w:rFonts w:hint="default" w:ascii="Nimbus Roman" w:hAnsi="Nimbus Roman" w:cs="Nimbus Roman"/>
          <w:b w:val="0"/>
          <w:bCs w:val="0"/>
          <w:color w:val="auto"/>
          <w:sz w:val="32"/>
          <w:szCs w:val="32"/>
          <w:highlight w:val="none"/>
          <w:lang w:val="en-US" w:eastAsia="zh-CN"/>
        </w:rPr>
        <w:t>1.4.9</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采购周期内，中选企业提供的产品质量及伴随服务不得低于中选前的标准。</w:t>
      </w:r>
      <w:bookmarkEnd w:id="137"/>
      <w:bookmarkEnd w:id="13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39" w:name="_Toc7662"/>
      <w:bookmarkStart w:id="140" w:name="_Toc29120"/>
      <w:r>
        <w:rPr>
          <w:rFonts w:hint="default" w:ascii="Nimbus Roman" w:hAnsi="Nimbus Roman" w:cs="Nimbus Roman"/>
          <w:b w:val="0"/>
          <w:bCs w:val="0"/>
          <w:color w:val="auto"/>
          <w:sz w:val="32"/>
          <w:szCs w:val="32"/>
          <w:highlight w:val="none"/>
          <w:lang w:val="en-US" w:eastAsia="zh-CN"/>
        </w:rPr>
        <w:t>1.4.10</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采购周期内，如中选企业同一型号产品产生新的省级及以上带量采购最低中选价格（包括外省省级平台新的最低挂网价格）。相关企业应在新的最低价产生后</w:t>
      </w:r>
      <w:r>
        <w:rPr>
          <w:rFonts w:hint="default" w:ascii="Nimbus Roman" w:hAnsi="Nimbus Roman" w:cs="Nimbus Roman"/>
          <w:b w:val="0"/>
          <w:bCs w:val="0"/>
          <w:color w:val="auto"/>
          <w:sz w:val="32"/>
          <w:szCs w:val="32"/>
          <w:highlight w:val="none"/>
          <w:lang w:val="en-US" w:eastAsia="zh-CN"/>
        </w:rPr>
        <w:t>30个自然日</w:t>
      </w:r>
      <w:r>
        <w:rPr>
          <w:rFonts w:hint="default" w:ascii="Nimbus Roman" w:hAnsi="Nimbus Roman" w:eastAsia="仿宋_GB2312" w:cs="Nimbus Roman"/>
          <w:b w:val="0"/>
          <w:bCs w:val="0"/>
          <w:color w:val="auto"/>
          <w:sz w:val="32"/>
          <w:szCs w:val="32"/>
          <w:highlight w:val="none"/>
          <w:lang w:val="en-US" w:eastAsia="zh-CN"/>
        </w:rPr>
        <w:t>内主动向联采办提交书面申请</w:t>
      </w:r>
      <w:r>
        <w:rPr>
          <w:rFonts w:hint="default" w:ascii="Nimbus Roman" w:hAnsi="Nimbus Roman" w:cs="Nimbus Roman"/>
          <w:b w:val="0"/>
          <w:bCs w:val="0"/>
          <w:color w:val="auto"/>
          <w:sz w:val="32"/>
          <w:szCs w:val="32"/>
          <w:highlight w:val="none"/>
          <w:lang w:val="en-US" w:eastAsia="zh-CN"/>
        </w:rPr>
        <w:t>，联采办向各联盟省份推送新的价格信息，采购周期内</w:t>
      </w:r>
      <w:r>
        <w:rPr>
          <w:rFonts w:hint="default" w:ascii="Nimbus Roman" w:hAnsi="Nimbus Roman" w:eastAsia="仿宋_GB2312" w:cs="Nimbus Roman"/>
          <w:b w:val="0"/>
          <w:bCs w:val="0"/>
          <w:color w:val="auto"/>
          <w:sz w:val="32"/>
          <w:szCs w:val="32"/>
          <w:highlight w:val="none"/>
          <w:lang w:val="en-US" w:eastAsia="zh-CN"/>
        </w:rPr>
        <w:t>未</w:t>
      </w:r>
      <w:r>
        <w:rPr>
          <w:rFonts w:hint="default" w:ascii="Nimbus Roman" w:hAnsi="Nimbus Roman" w:cs="Nimbus Roman"/>
          <w:b w:val="0"/>
          <w:bCs w:val="0"/>
          <w:color w:val="auto"/>
          <w:sz w:val="32"/>
          <w:szCs w:val="32"/>
          <w:highlight w:val="none"/>
          <w:lang w:val="en-US" w:eastAsia="zh-CN"/>
        </w:rPr>
        <w:t>完成</w:t>
      </w:r>
      <w:r>
        <w:rPr>
          <w:rFonts w:hint="default" w:ascii="Nimbus Roman" w:hAnsi="Nimbus Roman" w:eastAsia="仿宋_GB2312" w:cs="Nimbus Roman"/>
          <w:b w:val="0"/>
          <w:bCs w:val="0"/>
          <w:color w:val="auto"/>
          <w:sz w:val="32"/>
          <w:szCs w:val="32"/>
          <w:highlight w:val="none"/>
          <w:lang w:val="en-US" w:eastAsia="zh-CN"/>
        </w:rPr>
        <w:t>的协议采购量及超出协议采购量的部分，按新的最低价执行。</w:t>
      </w:r>
      <w:bookmarkEnd w:id="139"/>
      <w:bookmarkEnd w:id="14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41" w:name="_Toc395"/>
      <w:bookmarkStart w:id="142" w:name="_Toc5246"/>
      <w:bookmarkStart w:id="143" w:name="_Toc6096"/>
      <w:r>
        <w:rPr>
          <w:rFonts w:hint="default" w:ascii="Nimbus Roman" w:hAnsi="Nimbus Roman" w:cs="Nimbus Roman"/>
          <w:b w:val="0"/>
          <w:bCs w:val="0"/>
          <w:color w:val="auto"/>
          <w:sz w:val="32"/>
          <w:szCs w:val="32"/>
          <w:highlight w:val="none"/>
          <w:lang w:val="en-US" w:eastAsia="zh-CN"/>
        </w:rPr>
        <w:t>1.4.11</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境外医疗器械注册人如变更协助其履行相应法律义务的我国境内企业法人，境外医疗器械注册人向联采办递交更换委托代理企业的声明。拟变更的我国境内企业法人，不得为当前被列入联采办“违规名单”的企业。</w:t>
      </w:r>
      <w:bookmarkEnd w:id="141"/>
      <w:bookmarkEnd w:id="142"/>
      <w:bookmarkEnd w:id="14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44" w:name="_Toc2123"/>
      <w:bookmarkStart w:id="145" w:name="_Toc10518"/>
      <w:bookmarkStart w:id="146" w:name="_Toc25889"/>
      <w:r>
        <w:rPr>
          <w:rFonts w:hint="default" w:ascii="Nimbus Roman" w:hAnsi="Nimbus Roman" w:cs="Nimbus Roman"/>
          <w:b w:val="0"/>
          <w:bCs w:val="0"/>
          <w:color w:val="auto"/>
          <w:sz w:val="32"/>
          <w:szCs w:val="32"/>
          <w:highlight w:val="none"/>
          <w:lang w:val="en-US" w:eastAsia="zh-CN"/>
        </w:rPr>
        <w:t>1.4.12</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中选企业的中选产品应当符合国家有关部门的质量标准要求，并按国家有关部门要求组织生产。</w:t>
      </w:r>
      <w:bookmarkEnd w:id="144"/>
      <w:bookmarkEnd w:id="145"/>
      <w:bookmarkEnd w:id="14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147" w:name="_Toc23756"/>
      <w:bookmarkStart w:id="148" w:name="_Toc7350"/>
      <w:bookmarkStart w:id="149" w:name="_Toc18079"/>
      <w:bookmarkStart w:id="150" w:name="_Toc10514"/>
      <w:bookmarkStart w:id="151" w:name="_Toc25278"/>
      <w:bookmarkStart w:id="152" w:name="_Toc26434"/>
      <w:bookmarkStart w:id="153" w:name="_Toc25505"/>
      <w:bookmarkStart w:id="154" w:name="_Toc12009"/>
      <w:r>
        <w:rPr>
          <w:rFonts w:hint="default" w:ascii="Nimbus Roman" w:hAnsi="Nimbus Roman" w:cs="Nimbus Roman"/>
          <w:b w:val="0"/>
          <w:bCs w:val="0"/>
          <w:color w:val="auto"/>
          <w:sz w:val="32"/>
          <w:szCs w:val="32"/>
          <w:highlight w:val="none"/>
          <w:lang w:val="en-US" w:eastAsia="zh-CN"/>
        </w:rPr>
        <w:t>1.4.13</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采购周期内，如</w:t>
      </w:r>
      <w:r>
        <w:rPr>
          <w:rFonts w:hint="default" w:ascii="Nimbus Roman" w:hAnsi="Nimbus Roman" w:cs="Nimbus Roman"/>
          <w:b w:val="0"/>
          <w:bCs w:val="0"/>
          <w:color w:val="auto"/>
          <w:sz w:val="32"/>
          <w:szCs w:val="32"/>
          <w:highlight w:val="none"/>
          <w:lang w:val="en-US" w:eastAsia="zh-CN"/>
        </w:rPr>
        <w:t>遇国家政策调整，按最新政策执行</w:t>
      </w:r>
      <w:r>
        <w:rPr>
          <w:rFonts w:hint="default" w:ascii="Nimbus Roman" w:hAnsi="Nimbus Roman" w:eastAsia="仿宋_GB2312" w:cs="Nimbus Roman"/>
          <w:b w:val="0"/>
          <w:bCs w:val="0"/>
          <w:color w:val="auto"/>
          <w:sz w:val="32"/>
          <w:szCs w:val="32"/>
          <w:highlight w:val="none"/>
          <w:lang w:val="en-US" w:eastAsia="zh-CN"/>
        </w:rPr>
        <w:t>。</w:t>
      </w:r>
      <w:bookmarkEnd w:id="147"/>
      <w:bookmarkEnd w:id="148"/>
      <w:bookmarkEnd w:id="14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1.5</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采购文件获取</w:t>
      </w:r>
      <w:bookmarkEnd w:id="150"/>
      <w:bookmarkEnd w:id="151"/>
      <w:bookmarkEnd w:id="152"/>
      <w:bookmarkEnd w:id="153"/>
      <w:bookmarkEnd w:id="15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155" w:name="_Toc9825"/>
      <w:bookmarkStart w:id="156" w:name="_Toc28321"/>
      <w:bookmarkStart w:id="157" w:name="_Toc28273"/>
      <w:r>
        <w:rPr>
          <w:rFonts w:hint="default" w:ascii="Nimbus Roman" w:hAnsi="Nimbus Roman" w:cs="Nimbus Roman"/>
          <w:b w:val="0"/>
          <w:bCs w:val="0"/>
          <w:color w:val="auto"/>
          <w:highlight w:val="none"/>
          <w:lang w:val="en-US" w:eastAsia="zh-CN"/>
        </w:rPr>
        <w:t>有意向参与此次集中带量采购的</w:t>
      </w:r>
      <w:r>
        <w:rPr>
          <w:rFonts w:hint="default" w:ascii="Nimbus Roman" w:hAnsi="Nimbus Roman" w:eastAsia="仿宋_GB2312" w:cs="Nimbus Roman"/>
          <w:b w:val="0"/>
          <w:bCs w:val="0"/>
          <w:color w:val="auto"/>
          <w:highlight w:val="none"/>
          <w:lang w:val="en-US" w:eastAsia="zh-CN"/>
        </w:rPr>
        <w:t>企业</w:t>
      </w:r>
      <w:r>
        <w:rPr>
          <w:rFonts w:hint="default" w:ascii="Nimbus Roman" w:hAnsi="Nimbus Roman" w:cs="Nimbus Roman"/>
          <w:b w:val="0"/>
          <w:bCs w:val="0"/>
          <w:color w:val="auto"/>
          <w:highlight w:val="none"/>
          <w:lang w:val="en-US" w:eastAsia="zh-CN"/>
        </w:rPr>
        <w:t>，</w:t>
      </w:r>
      <w:r>
        <w:rPr>
          <w:rFonts w:hint="default" w:ascii="Nimbus Roman" w:hAnsi="Nimbus Roman" w:eastAsia="仿宋_GB2312" w:cs="Nimbus Roman"/>
          <w:b w:val="0"/>
          <w:bCs w:val="0"/>
          <w:color w:val="auto"/>
          <w:highlight w:val="none"/>
          <w:lang w:val="en-US" w:eastAsia="zh-CN"/>
        </w:rPr>
        <w:t>可通过湖南省医疗保障局官网（</w:t>
      </w:r>
      <w:r>
        <w:rPr>
          <w:rFonts w:hint="default" w:ascii="Nimbus Roman" w:hAnsi="Nimbus Roman" w:cs="Nimbus Roman"/>
          <w:b w:val="0"/>
          <w:bCs w:val="0"/>
          <w:color w:val="auto"/>
          <w:highlight w:val="none"/>
          <w:lang w:val="en-US" w:eastAsia="zh-CN"/>
        </w:rPr>
        <w:t>网址：</w:t>
      </w:r>
      <w:r>
        <w:rPr>
          <w:rFonts w:hint="default" w:ascii="Nimbus Roman" w:hAnsi="Nimbus Roman" w:eastAsia="仿宋_GB2312" w:cs="Nimbus Roman"/>
          <w:b w:val="0"/>
          <w:bCs w:val="0"/>
          <w:color w:val="auto"/>
          <w:highlight w:val="none"/>
          <w:lang w:val="en-US" w:eastAsia="zh-CN"/>
        </w:rPr>
        <w:fldChar w:fldCharType="begin"/>
      </w:r>
      <w:r>
        <w:rPr>
          <w:rFonts w:hint="default" w:ascii="Nimbus Roman" w:hAnsi="Nimbus Roman" w:eastAsia="仿宋_GB2312" w:cs="Nimbus Roman"/>
          <w:b w:val="0"/>
          <w:bCs w:val="0"/>
          <w:color w:val="auto"/>
          <w:highlight w:val="none"/>
          <w:lang w:val="en-US" w:eastAsia="zh-CN"/>
        </w:rPr>
        <w:instrText xml:space="preserve"> HYPERLINK "http://ybj.hunan.gov.cn）获取相关文件。" </w:instrText>
      </w:r>
      <w:r>
        <w:rPr>
          <w:rFonts w:hint="default" w:ascii="Nimbus Roman" w:hAnsi="Nimbus Roman" w:eastAsia="仿宋_GB2312" w:cs="Nimbus Roman"/>
          <w:b w:val="0"/>
          <w:bCs w:val="0"/>
          <w:color w:val="auto"/>
          <w:highlight w:val="none"/>
          <w:lang w:val="en-US" w:eastAsia="zh-CN"/>
        </w:rPr>
        <w:fldChar w:fldCharType="separate"/>
      </w:r>
      <w:r>
        <w:rPr>
          <w:rStyle w:val="19"/>
          <w:rFonts w:hint="default" w:ascii="Nimbus Roman" w:hAnsi="Nimbus Roman" w:eastAsia="仿宋_GB2312" w:cs="Nimbus Roman"/>
          <w:b w:val="0"/>
          <w:bCs w:val="0"/>
          <w:highlight w:val="none"/>
          <w:lang w:val="en-US" w:eastAsia="zh-CN"/>
        </w:rPr>
        <w:t>http://ybj.hunan.gov.cn</w:t>
      </w:r>
      <w:r>
        <w:rPr>
          <w:rStyle w:val="19"/>
          <w:rFonts w:hint="default" w:ascii="Nimbus Roman" w:hAnsi="Nimbus Roman" w:cs="Nimbus Roman"/>
          <w:b w:val="0"/>
          <w:bCs w:val="0"/>
          <w:highlight w:val="none"/>
          <w:lang w:val="en-US" w:eastAsia="zh-CN"/>
        </w:rPr>
        <w:t>）</w:t>
      </w:r>
      <w:r>
        <w:rPr>
          <w:rStyle w:val="19"/>
          <w:rFonts w:hint="default" w:ascii="Nimbus Roman" w:hAnsi="Nimbus Roman" w:eastAsia="仿宋_GB2312" w:cs="Nimbus Roman"/>
          <w:b w:val="0"/>
          <w:bCs w:val="0"/>
          <w:highlight w:val="none"/>
          <w:lang w:val="en-US" w:eastAsia="zh-CN"/>
        </w:rPr>
        <w:t>获取相关文件。</w:t>
      </w:r>
      <w:bookmarkEnd w:id="155"/>
      <w:bookmarkEnd w:id="156"/>
      <w:bookmarkEnd w:id="157"/>
      <w:bookmarkStart w:id="158" w:name="_Toc851"/>
      <w:r>
        <w:rPr>
          <w:rFonts w:hint="default" w:ascii="Nimbus Roman" w:hAnsi="Nimbus Roman" w:eastAsia="仿宋_GB2312" w:cs="Nimbus Roman"/>
          <w:b w:val="0"/>
          <w:bCs w:val="0"/>
          <w:color w:val="auto"/>
          <w:highlight w:val="none"/>
          <w:lang w:val="en-US" w:eastAsia="zh-CN"/>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1.6</w:t>
      </w:r>
      <w:r>
        <w:rPr>
          <w:rFonts w:hint="eastAsia" w:ascii="Nimbus Roman" w:hAnsi="Nimbus Roman" w:eastAsia="黑体"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Hans"/>
        </w:rPr>
        <w:t>申报材料递交</w:t>
      </w:r>
      <w:bookmarkEnd w:id="158"/>
      <w:r>
        <w:rPr>
          <w:rFonts w:hint="default" w:ascii="Nimbus Roman" w:hAnsi="Nimbus Roman" w:eastAsia="黑体" w:cs="Nimbus Roman"/>
          <w:b w:val="0"/>
          <w:bCs w:val="0"/>
          <w:color w:val="auto"/>
          <w:highlight w:val="none"/>
          <w:lang w:val="en-US" w:eastAsia="zh-CN"/>
        </w:rPr>
        <w:t>方式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cs="Nimbus Roman"/>
          <w:b w:val="0"/>
          <w:bCs w:val="0"/>
          <w:color w:val="auto"/>
          <w:highlight w:val="none"/>
          <w:lang w:val="en-US" w:eastAsia="zh-CN"/>
        </w:rPr>
      </w:pPr>
      <w:bookmarkStart w:id="159" w:name="_Toc13146"/>
      <w:bookmarkStart w:id="160" w:name="_Toc18400"/>
      <w:bookmarkStart w:id="161" w:name="_Toc12362"/>
      <w:bookmarkStart w:id="162" w:name="_Toc21678"/>
      <w:bookmarkStart w:id="163" w:name="_Toc25932"/>
      <w:bookmarkStart w:id="164" w:name="_Toc18894"/>
      <w:bookmarkStart w:id="165" w:name="_Toc12608"/>
      <w:r>
        <w:rPr>
          <w:rFonts w:hint="default" w:ascii="Nimbus Roman" w:hAnsi="Nimbus Roman" w:cs="Nimbus Roman"/>
          <w:b w:val="0"/>
          <w:bCs w:val="0"/>
          <w:color w:val="auto"/>
          <w:highlight w:val="none"/>
          <w:lang w:val="en-US" w:eastAsia="zh-CN"/>
        </w:rPr>
        <w:t>本次</w:t>
      </w:r>
      <w:r>
        <w:rPr>
          <w:rFonts w:hint="default" w:ascii="Nimbus Roman" w:hAnsi="Nimbus Roman" w:eastAsia="仿宋_GB2312" w:cs="Nimbus Roman"/>
          <w:b w:val="0"/>
          <w:bCs w:val="0"/>
          <w:color w:val="auto"/>
          <w:highlight w:val="none"/>
          <w:lang w:val="en-US" w:eastAsia="zh-CN"/>
        </w:rPr>
        <w:t>呼吸介入类医用耗材</w:t>
      </w:r>
      <w:r>
        <w:rPr>
          <w:rFonts w:hint="default" w:ascii="Nimbus Roman" w:hAnsi="Nimbus Roman" w:cs="Nimbus Roman"/>
          <w:b w:val="0"/>
          <w:bCs w:val="0"/>
          <w:color w:val="auto"/>
          <w:highlight w:val="none"/>
          <w:lang w:val="en-US" w:eastAsia="zh-CN"/>
        </w:rPr>
        <w:t>集中带量采购的申报材料由两部分构成，第一部分为产品信息材料，实行线上申报；第二部分为报价材料，实行现场递交。</w:t>
      </w:r>
    </w:p>
    <w:bookmarkEnd w:id="159"/>
    <w:bookmarkEnd w:id="160"/>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highlight w:val="none"/>
          <w:lang w:val="en-US" w:eastAsia="zh-CN"/>
        </w:rPr>
      </w:pPr>
      <w:bookmarkStart w:id="166" w:name="_Toc10771"/>
      <w:bookmarkStart w:id="167" w:name="_Toc21346"/>
      <w:r>
        <w:rPr>
          <w:rFonts w:hint="default" w:ascii="Nimbus Roman" w:hAnsi="Nimbus Roman" w:eastAsia="仿宋_GB2312" w:cs="Nimbus Roman"/>
          <w:b w:val="0"/>
          <w:bCs w:val="0"/>
          <w:color w:val="auto"/>
          <w:highlight w:val="none"/>
          <w:lang w:val="en-US" w:eastAsia="zh-CN"/>
        </w:rPr>
        <w:t>1.6.1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产品信息材料（线上申报）</w:t>
      </w:r>
    </w:p>
    <w:bookmarkEnd w:id="166"/>
    <w:bookmarkEnd w:id="167"/>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highlight w:val="none"/>
          <w:lang w:val="en-US" w:eastAsia="zh-CN"/>
        </w:rPr>
      </w:pPr>
      <w:bookmarkStart w:id="168" w:name="_Toc28132"/>
      <w:bookmarkStart w:id="169" w:name="_Toc13219"/>
      <w:r>
        <w:rPr>
          <w:rFonts w:hint="default" w:ascii="Nimbus Roman" w:hAnsi="Nimbus Roman" w:eastAsia="仿宋_GB2312" w:cs="Nimbus Roman"/>
          <w:b w:val="0"/>
          <w:bCs w:val="0"/>
          <w:color w:val="auto"/>
          <w:highlight w:val="none"/>
          <w:lang w:val="en-US" w:eastAsia="zh-CN"/>
        </w:rPr>
        <w:t>产品信息材料须通过“湖南省医保信息平台药品和医用耗材招采管理子系统”（以下简称“湖南招采管理系统”）进行线上申报，申报时间和要求另行通知。</w:t>
      </w:r>
    </w:p>
    <w:bookmarkEnd w:id="161"/>
    <w:bookmarkEnd w:id="168"/>
    <w:bookmarkEnd w:id="169"/>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kern w:val="0"/>
          <w:sz w:val="32"/>
          <w:szCs w:val="32"/>
          <w:highlight w:val="none"/>
          <w:lang w:val="en-US" w:eastAsia="zh-CN" w:bidi="zh-CN"/>
        </w:rPr>
      </w:pPr>
      <w:bookmarkStart w:id="170" w:name="_Toc11762"/>
      <w:bookmarkStart w:id="171" w:name="_Toc17573"/>
      <w:bookmarkStart w:id="172" w:name="_Toc8127"/>
      <w:r>
        <w:rPr>
          <w:rFonts w:hint="default" w:ascii="Nimbus Roman" w:hAnsi="Nimbus Roman" w:eastAsia="仿宋_GB2312" w:cs="Nimbus Roman"/>
          <w:b w:val="0"/>
          <w:bCs w:val="0"/>
          <w:color w:val="auto"/>
          <w:kern w:val="0"/>
          <w:sz w:val="32"/>
          <w:szCs w:val="32"/>
          <w:highlight w:val="none"/>
          <w:lang w:val="en-US" w:eastAsia="zh-CN" w:bidi="zh-CN"/>
        </w:rPr>
        <w:t>1.6.2</w:t>
      </w:r>
      <w:r>
        <w:rPr>
          <w:rFonts w:hint="eastAsia" w:ascii="Nimbus Roman" w:hAnsi="Nimbus Roman" w:cs="Nimbus Roman"/>
          <w:b w:val="0"/>
          <w:bCs w:val="0"/>
          <w:color w:val="auto"/>
          <w:kern w:val="0"/>
          <w:sz w:val="32"/>
          <w:szCs w:val="32"/>
          <w:highlight w:val="none"/>
          <w:lang w:val="en-US" w:eastAsia="zh-CN" w:bidi="zh-CN"/>
        </w:rPr>
        <w:t xml:space="preserve"> </w:t>
      </w:r>
      <w:r>
        <w:rPr>
          <w:rFonts w:hint="default" w:ascii="Nimbus Roman" w:hAnsi="Nimbus Roman" w:eastAsia="仿宋_GB2312" w:cs="Nimbus Roman"/>
          <w:b w:val="0"/>
          <w:bCs w:val="0"/>
          <w:color w:val="auto"/>
          <w:kern w:val="0"/>
          <w:sz w:val="32"/>
          <w:szCs w:val="32"/>
          <w:highlight w:val="none"/>
          <w:lang w:val="en-US" w:eastAsia="zh-CN" w:bidi="zh-CN"/>
        </w:rPr>
        <w:t>报价材料（现场递交）</w:t>
      </w:r>
    </w:p>
    <w:bookmarkEnd w:id="170"/>
    <w:bookmarkEnd w:id="171"/>
    <w:bookmarkEnd w:id="172"/>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highlight w:val="none"/>
          <w:lang w:val="en-US" w:eastAsia="zh-CN"/>
        </w:rPr>
      </w:pPr>
      <w:bookmarkStart w:id="173" w:name="_Toc30072"/>
      <w:bookmarkStart w:id="174" w:name="_Toc2812"/>
      <w:r>
        <w:rPr>
          <w:rFonts w:hint="default" w:ascii="Nimbus Roman" w:hAnsi="Nimbus Roman" w:eastAsia="仿宋_GB2312" w:cs="Nimbus Roman"/>
          <w:b w:val="0"/>
          <w:bCs w:val="0"/>
          <w:color w:val="auto"/>
          <w:highlight w:val="none"/>
          <w:lang w:val="en-US" w:eastAsia="zh-CN"/>
        </w:rPr>
        <w:t>递交时间、递交地点和要求另行通知。</w:t>
      </w:r>
      <w:bookmarkEnd w:id="173"/>
      <w:bookmarkEnd w:id="174"/>
      <w:bookmarkStart w:id="175" w:name="bookmark9"/>
      <w:bookmarkEnd w:id="175"/>
      <w:bookmarkStart w:id="176" w:name="_Toc3072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1.7</w:t>
      </w:r>
      <w:r>
        <w:rPr>
          <w:rFonts w:hint="eastAsia" w:ascii="Nimbus Roman" w:hAnsi="Nimbus Roman" w:eastAsia="黑体"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申报信息公开时间和地点</w:t>
      </w:r>
      <w:bookmarkEnd w:id="17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highlight w:val="none"/>
          <w:lang w:val="en-US" w:eastAsia="zh-CN"/>
        </w:rPr>
      </w:pPr>
      <w:bookmarkStart w:id="177" w:name="_Toc6880"/>
      <w:r>
        <w:rPr>
          <w:rFonts w:hint="default" w:ascii="Nimbus Roman" w:hAnsi="Nimbus Roman" w:eastAsia="仿宋_GB2312" w:cs="Nimbus Roman"/>
          <w:b w:val="0"/>
          <w:bCs w:val="0"/>
          <w:color w:val="auto"/>
          <w:highlight w:val="none"/>
          <w:lang w:val="en-US" w:eastAsia="zh-CN"/>
        </w:rPr>
        <w:t>申报信息公开时间、地点另行通知。</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1.8</w:t>
      </w:r>
      <w:r>
        <w:rPr>
          <w:rFonts w:hint="eastAsia" w:ascii="Nimbus Roman" w:hAnsi="Nimbus Roman" w:eastAsia="黑体"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联系方式</w:t>
      </w:r>
      <w:bookmarkEnd w:id="162"/>
      <w:bookmarkEnd w:id="163"/>
      <w:bookmarkEnd w:id="164"/>
      <w:bookmarkEnd w:id="165"/>
      <w:bookmarkEnd w:id="17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eastAsia="仿宋_GB2312" w:cs="Nimbus Roman"/>
          <w:b w:val="0"/>
          <w:bCs w:val="0"/>
          <w:color w:val="auto"/>
          <w:highlight w:val="none"/>
          <w:lang w:val="en-US" w:eastAsia="zh-CN"/>
        </w:rPr>
      </w:pPr>
      <w:bookmarkStart w:id="178" w:name="_Toc5298"/>
      <w:bookmarkStart w:id="179" w:name="_Toc10187"/>
      <w:bookmarkStart w:id="180" w:name="_Toc25281"/>
      <w:r>
        <w:rPr>
          <w:rFonts w:hint="default" w:ascii="Nimbus Roman" w:hAnsi="Nimbus Roman" w:eastAsia="仿宋_GB2312" w:cs="Nimbus Roman"/>
          <w:b w:val="0"/>
          <w:bCs w:val="0"/>
          <w:color w:val="auto"/>
          <w:highlight w:val="none"/>
          <w:lang w:val="en-US" w:eastAsia="zh-CN"/>
        </w:rPr>
        <w:t>联系地址：</w:t>
      </w:r>
      <w:bookmarkEnd w:id="178"/>
      <w:r>
        <w:rPr>
          <w:rFonts w:hint="default" w:ascii="Nimbus Roman" w:hAnsi="Nimbus Roman" w:cs="Nimbus Roman"/>
          <w:b w:val="0"/>
          <w:bCs w:val="0"/>
          <w:color w:val="auto"/>
          <w:highlight w:val="none"/>
          <w:lang w:val="en-US" w:eastAsia="zh-CN"/>
        </w:rPr>
        <w:t>湘潭市医疗保障局（湖南省湘潭市湘潭大道157号）。</w:t>
      </w:r>
      <w:bookmarkEnd w:id="179"/>
      <w:bookmarkEnd w:id="18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181" w:name="_Toc18854"/>
      <w:bookmarkStart w:id="182" w:name="_Toc19446"/>
      <w:bookmarkStart w:id="183" w:name="_Toc8770"/>
      <w:r>
        <w:rPr>
          <w:rFonts w:hint="default" w:ascii="Nimbus Roman" w:hAnsi="Nimbus Roman" w:eastAsia="仿宋_GB2312" w:cs="Nimbus Roman"/>
          <w:b w:val="0"/>
          <w:bCs w:val="0"/>
          <w:color w:val="auto"/>
          <w:highlight w:val="none"/>
          <w:lang w:val="en-US" w:eastAsia="zh-CN"/>
        </w:rPr>
        <w:t>联系电话：</w:t>
      </w:r>
      <w:r>
        <w:rPr>
          <w:rFonts w:hint="default" w:ascii="Nimbus Roman" w:hAnsi="Nimbus Roman" w:cs="Nimbus Roman"/>
          <w:b w:val="0"/>
          <w:bCs w:val="0"/>
          <w:color w:val="auto"/>
          <w:highlight w:val="none"/>
          <w:lang w:val="en-US" w:eastAsia="zh-CN"/>
        </w:rPr>
        <w:t>0731-58612215</w:t>
      </w:r>
      <w:bookmarkEnd w:id="181"/>
      <w:bookmarkEnd w:id="182"/>
      <w:bookmarkEnd w:id="183"/>
      <w:r>
        <w:rPr>
          <w:rFonts w:hint="default" w:ascii="Nimbus Roman" w:hAnsi="Nimbus Roman" w:cs="Nimbus Roman"/>
          <w:b w:val="0"/>
          <w:bCs w:val="0"/>
          <w:color w:val="auto"/>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184" w:name="_Toc25493"/>
      <w:bookmarkStart w:id="185" w:name="_Toc29344"/>
      <w:bookmarkStart w:id="186" w:name="_Toc18046"/>
      <w:r>
        <w:rPr>
          <w:rFonts w:hint="default" w:ascii="Nimbus Roman" w:hAnsi="Nimbus Roman" w:eastAsia="仿宋_GB2312" w:cs="Nimbus Roman"/>
          <w:b w:val="0"/>
          <w:bCs w:val="0"/>
          <w:color w:val="auto"/>
          <w:highlight w:val="none"/>
          <w:lang w:val="en-US" w:eastAsia="zh-CN"/>
        </w:rPr>
        <w:t>服务时间：工作日8:00-12:00，14:30-17:30。</w:t>
      </w:r>
      <w:bookmarkEnd w:id="184"/>
      <w:bookmarkEnd w:id="185"/>
      <w:bookmarkEnd w:id="186"/>
      <w:bookmarkStart w:id="187" w:name="_Toc27759"/>
      <w:bookmarkStart w:id="188" w:name="_Toc24988"/>
      <w:bookmarkStart w:id="189" w:name="_Toc14867"/>
      <w:bookmarkStart w:id="190" w:name="_Toc22282"/>
      <w:bookmarkStart w:id="191" w:name="_Toc1057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r>
        <w:rPr>
          <w:rFonts w:hint="default" w:ascii="Nimbus Roman" w:hAnsi="Nimbus Roman" w:eastAsia="黑体" w:cs="Nimbus Roman"/>
          <w:b w:val="0"/>
          <w:bCs w:val="0"/>
          <w:color w:val="auto"/>
          <w:highlight w:val="none"/>
          <w:lang w:val="en-US" w:eastAsia="zh-CN"/>
        </w:rPr>
        <w:t>1.9</w:t>
      </w:r>
      <w:r>
        <w:rPr>
          <w:rFonts w:hint="eastAsia" w:ascii="Nimbus Roman" w:hAnsi="Nimbus Roman" w:eastAsia="黑体"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其他</w:t>
      </w:r>
      <w:bookmarkEnd w:id="187"/>
      <w:bookmarkEnd w:id="188"/>
      <w:bookmarkEnd w:id="189"/>
      <w:bookmarkEnd w:id="190"/>
      <w:bookmarkEnd w:id="191"/>
    </w:p>
    <w:p>
      <w:pPr>
        <w:keepNext w:val="0"/>
        <w:keepLines w:val="0"/>
        <w:pageBreakBefore w:val="0"/>
        <w:widowControl/>
        <w:suppressLineNumbers w:val="0"/>
        <w:kinsoku/>
        <w:wordWrap/>
        <w:overflowPunct/>
        <w:topLinePunct w:val="0"/>
        <w:bidi w:val="0"/>
        <w:adjustRightInd/>
        <w:spacing w:line="576" w:lineRule="exact"/>
        <w:ind w:firstLine="720"/>
        <w:jc w:val="both"/>
        <w:rPr>
          <w:rFonts w:hint="default" w:ascii="Nimbus Roman" w:hAnsi="Nimbus Roman" w:eastAsia="仿宋_GB2312" w:cs="Nimbus Roman"/>
          <w:color w:val="auto"/>
          <w:spacing w:val="9"/>
          <w:sz w:val="32"/>
          <w:szCs w:val="32"/>
          <w:highlight w:val="none"/>
        </w:rPr>
      </w:pPr>
      <w:r>
        <w:rPr>
          <w:rFonts w:hint="default" w:ascii="Nimbus Roman" w:hAnsi="Nimbus Roman" w:eastAsia="仿宋_GB2312" w:cs="Nimbus Roman"/>
          <w:b w:val="0"/>
          <w:bCs w:val="0"/>
          <w:color w:val="auto"/>
          <w:sz w:val="32"/>
          <w:szCs w:val="32"/>
          <w:highlight w:val="none"/>
          <w:lang w:val="en-US" w:eastAsia="zh-CN"/>
        </w:rPr>
        <w:t>联采办已通过自我审查的方式开展公平竞争审查，本次集中带量采购相关文件</w:t>
      </w:r>
      <w:r>
        <w:rPr>
          <w:rFonts w:hint="default" w:ascii="Nimbus Roman" w:hAnsi="Nimbus Roman" w:eastAsia="仿宋_GB2312" w:cs="Nimbus Roman"/>
          <w:color w:val="auto"/>
          <w:spacing w:val="9"/>
          <w:sz w:val="32"/>
          <w:szCs w:val="32"/>
          <w:highlight w:val="none"/>
        </w:rPr>
        <w:t>不具有排除、限制竞争效果。</w:t>
      </w:r>
    </w:p>
    <w:p>
      <w:pPr>
        <w:rPr>
          <w:rFonts w:hint="default" w:ascii="Nimbus Roman" w:hAnsi="Nimbus Roman" w:eastAsia="仿宋_GB2312" w:cs="Nimbus Roman"/>
          <w:color w:val="auto"/>
          <w:spacing w:val="9"/>
          <w:sz w:val="32"/>
          <w:szCs w:val="32"/>
          <w:highlight w:val="none"/>
        </w:rPr>
      </w:pPr>
      <w:r>
        <w:rPr>
          <w:rFonts w:hint="default" w:ascii="Nimbus Roman" w:hAnsi="Nimbus Roman" w:eastAsia="仿宋_GB2312" w:cs="Nimbus Roman"/>
          <w:color w:val="auto"/>
          <w:spacing w:val="9"/>
          <w:sz w:val="32"/>
          <w:szCs w:val="32"/>
          <w:highlight w:val="none"/>
        </w:rPr>
        <w:br w:type="page"/>
      </w:r>
    </w:p>
    <w:p>
      <w:pPr>
        <w:keepNext w:val="0"/>
        <w:keepLines w:val="0"/>
        <w:pageBreakBefore w:val="0"/>
        <w:widowControl/>
        <w:suppressLineNumbers w:val="0"/>
        <w:kinsoku/>
        <w:wordWrap/>
        <w:overflowPunct/>
        <w:topLinePunct w:val="0"/>
        <w:bidi w:val="0"/>
        <w:adjustRightInd/>
        <w:spacing w:line="576" w:lineRule="exact"/>
        <w:ind w:firstLine="720"/>
        <w:jc w:val="both"/>
        <w:rPr>
          <w:rFonts w:hint="default" w:ascii="Nimbus Roman" w:hAnsi="Nimbus Roman" w:eastAsia="仿宋_GB2312" w:cs="Nimbus Roman"/>
          <w:color w:val="auto"/>
          <w:spacing w:val="9"/>
          <w:sz w:val="32"/>
          <w:szCs w:val="32"/>
          <w:highlight w:val="none"/>
          <w:lang w:val="en-US" w:eastAsia="zh-CN"/>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bookmarkStart w:id="192" w:name="_Toc4495"/>
      <w:bookmarkStart w:id="193" w:name="_Toc20321"/>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both"/>
        <w:outlineLvl w:val="9"/>
        <w:rPr>
          <w:rFonts w:hint="default" w:ascii="Nimbus Roman" w:hAnsi="Nimbus Roman" w:eastAsia="方正小标宋简体" w:cs="Nimbus Roman"/>
          <w:color w:val="auto"/>
          <w:kern w:val="0"/>
          <w:sz w:val="44"/>
          <w:szCs w:val="44"/>
          <w:lang w:val="en-US" w:eastAsia="zh-CN" w:bidi="ar"/>
        </w:rPr>
      </w:pPr>
    </w:p>
    <w:p>
      <w:pPr>
        <w:pStyle w:val="10"/>
        <w:keepNext w:val="0"/>
        <w:keepLines w:val="0"/>
        <w:pageBreakBefore w:val="0"/>
        <w:kinsoku/>
        <w:wordWrap/>
        <w:overflowPunct/>
        <w:topLinePunct w:val="0"/>
        <w:bidi w:val="0"/>
        <w:adjustRightInd/>
        <w:spacing w:line="576" w:lineRule="exact"/>
        <w:rPr>
          <w:rFonts w:hint="default" w:ascii="Nimbus Roman" w:hAnsi="Nimbus Roman" w:eastAsia="方正小标宋简体" w:cs="Nimbus Roman"/>
          <w:color w:val="auto"/>
          <w:kern w:val="0"/>
          <w:sz w:val="44"/>
          <w:szCs w:val="44"/>
          <w:lang w:val="en-US" w:eastAsia="zh-CN" w:bidi="ar"/>
        </w:rPr>
      </w:pPr>
    </w:p>
    <w:p>
      <w:pPr>
        <w:pStyle w:val="5"/>
        <w:keepNext w:val="0"/>
        <w:keepLines w:val="0"/>
        <w:pageBreakBefore w:val="0"/>
        <w:kinsoku/>
        <w:wordWrap/>
        <w:overflowPunct/>
        <w:topLinePunct w:val="0"/>
        <w:bidi w:val="0"/>
        <w:adjustRightInd/>
        <w:spacing w:line="576" w:lineRule="exact"/>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0"/>
        <w:rPr>
          <w:rFonts w:hint="default" w:ascii="Nimbus Roman" w:hAnsi="Nimbus Roman" w:eastAsia="方正小标宋简体" w:cs="Nimbus Roman"/>
          <w:color w:val="auto"/>
          <w:sz w:val="44"/>
          <w:szCs w:val="44"/>
        </w:rPr>
      </w:pPr>
      <w:bookmarkStart w:id="194" w:name="_Toc6304"/>
      <w:r>
        <w:rPr>
          <w:rFonts w:hint="default" w:ascii="Nimbus Roman" w:hAnsi="Nimbus Roman" w:eastAsia="方正小标宋简体" w:cs="Nimbus Roman"/>
          <w:color w:val="auto"/>
          <w:kern w:val="0"/>
          <w:sz w:val="44"/>
          <w:szCs w:val="44"/>
          <w:lang w:val="en-US" w:eastAsia="zh-CN" w:bidi="ar"/>
        </w:rPr>
        <w:t>第二部分    申报企业须知</w:t>
      </w:r>
      <w:bookmarkEnd w:id="192"/>
      <w:bookmarkEnd w:id="193"/>
      <w:bookmarkEnd w:id="194"/>
    </w:p>
    <w:p>
      <w:pPr>
        <w:keepNext w:val="0"/>
        <w:keepLines w:val="0"/>
        <w:pageBreakBefore w:val="0"/>
        <w:kinsoku/>
        <w:wordWrap/>
        <w:overflowPunct/>
        <w:topLinePunct w:val="0"/>
        <w:bidi w:val="0"/>
        <w:adjustRightInd/>
        <w:spacing w:line="576" w:lineRule="exact"/>
        <w:jc w:val="both"/>
        <w:rPr>
          <w:rFonts w:hint="default" w:ascii="Nimbus Roman" w:hAnsi="Nimbus Roman" w:cs="Nimbus Roman"/>
          <w:b w:val="0"/>
          <w:bCs w:val="0"/>
          <w:color w:val="auto"/>
          <w:highlight w:val="none"/>
          <w:lang w:val="en-US" w:eastAsia="zh-CN"/>
        </w:rPr>
      </w:pPr>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outlineLvl w:val="9"/>
        <w:rPr>
          <w:rFonts w:hint="default" w:ascii="Nimbus Roman" w:hAnsi="Nimbus Roman" w:cs="Nimbus Roman"/>
          <w:b w:val="0"/>
          <w:bCs w:val="0"/>
          <w:color w:val="auto"/>
          <w:highlight w:val="none"/>
          <w:lang w:val="en-US" w:eastAsia="zh-CN"/>
        </w:rPr>
      </w:pPr>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outlineLvl w:val="9"/>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p>
      <w:pPr>
        <w:keepNext w:val="0"/>
        <w:keepLines w:val="0"/>
        <w:pageBreakBefore w:val="0"/>
        <w:kinsoku/>
        <w:wordWrap/>
        <w:overflowPunct/>
        <w:topLinePunct w:val="0"/>
        <w:bidi w:val="0"/>
        <w:adjustRightInd/>
        <w:spacing w:line="576" w:lineRule="exact"/>
        <w:rPr>
          <w:rFonts w:hint="default" w:ascii="Nimbus Roman" w:hAnsi="Nimbus Roman" w:cs="Nimbus Roman"/>
          <w:b w:val="0"/>
          <w:bCs w:val="0"/>
          <w:color w:val="auto"/>
          <w:highlight w:val="none"/>
          <w:lang w:val="en-US" w:eastAsia="zh-CN"/>
        </w:rPr>
      </w:pPr>
    </w:p>
    <w:bookmarkEnd w:id="58"/>
    <w:p>
      <w:pPr>
        <w:pStyle w:val="3"/>
        <w:keepNext w:val="0"/>
        <w:keepLines w:val="0"/>
        <w:pageBreakBefore w:val="0"/>
        <w:widowControl w:val="0"/>
        <w:kinsoku/>
        <w:wordWrap/>
        <w:overflowPunct/>
        <w:topLinePunct w:val="0"/>
        <w:autoSpaceDE w:val="0"/>
        <w:autoSpaceDN w:val="0"/>
        <w:bidi w:val="0"/>
        <w:adjustRightInd/>
        <w:snapToGrid/>
        <w:spacing w:before="0" w:line="576" w:lineRule="exact"/>
        <w:ind w:left="0" w:leftChars="0" w:firstLine="640" w:firstLineChars="200"/>
        <w:jc w:val="both"/>
        <w:textAlignment w:val="auto"/>
        <w:rPr>
          <w:rFonts w:hint="default" w:ascii="Nimbus Roman" w:hAnsi="Nimbus Roman" w:eastAsia="黑体" w:cs="Nimbus Roman"/>
          <w:b w:val="0"/>
          <w:bCs w:val="0"/>
          <w:color w:val="auto"/>
          <w:highlight w:val="none"/>
          <w:lang w:val="en-US" w:eastAsia="zh-CN"/>
        </w:rPr>
      </w:pPr>
      <w:bookmarkStart w:id="195" w:name="_Toc16461"/>
      <w:bookmarkStart w:id="196" w:name="_Toc2830"/>
      <w:bookmarkStart w:id="197" w:name="_Toc5684"/>
      <w:bookmarkStart w:id="198" w:name="_Toc19306"/>
      <w:bookmarkStart w:id="199" w:name="_Toc6744"/>
      <w:bookmarkStart w:id="200" w:name="_Toc9035"/>
      <w:bookmarkStart w:id="201" w:name="_Toc20913"/>
      <w:r>
        <w:rPr>
          <w:rFonts w:hint="default" w:ascii="Nimbus Roman" w:hAnsi="Nimbus Roman" w:eastAsia="黑体"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黑体" w:cs="Nimbus Roman"/>
          <w:b w:val="0"/>
          <w:bCs w:val="0"/>
          <w:color w:val="auto"/>
          <w:highlight w:val="none"/>
          <w:lang w:val="en-US" w:eastAsia="zh-CN"/>
        </w:rPr>
        <w:t>集中带量采购当事人</w:t>
      </w:r>
      <w:bookmarkEnd w:id="195"/>
      <w:bookmarkEnd w:id="196"/>
      <w:bookmarkEnd w:id="197"/>
      <w:bookmarkEnd w:id="198"/>
      <w:bookmarkEnd w:id="19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02" w:name="_Toc27116"/>
      <w:bookmarkStart w:id="203" w:name="_Toc29243"/>
      <w:bookmarkStart w:id="204" w:name="_Toc30728"/>
      <w:r>
        <w:rPr>
          <w:rFonts w:hint="default" w:ascii="Nimbus Roman" w:hAnsi="Nimbus Roman" w:eastAsia="仿宋_GB2312" w:cs="Nimbus Roman"/>
          <w:b w:val="0"/>
          <w:bCs w:val="0"/>
          <w:color w:val="auto"/>
          <w:highlight w:val="none"/>
          <w:lang w:val="en-US" w:eastAsia="zh-CN"/>
        </w:rPr>
        <w:t>2.1.1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w:t>
      </w:r>
      <w:bookmarkEnd w:id="202"/>
      <w:bookmarkEnd w:id="203"/>
      <w:bookmarkEnd w:id="20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05" w:name="_Toc26370"/>
      <w:bookmarkStart w:id="206" w:name="_Toc15514"/>
      <w:bookmarkStart w:id="207" w:name="_Toc21813"/>
      <w:r>
        <w:rPr>
          <w:rFonts w:hint="default" w:ascii="Nimbus Roman" w:hAnsi="Nimbus Roman" w:cs="Nimbus Roman"/>
          <w:b w:val="0"/>
          <w:bCs w:val="0"/>
          <w:color w:val="auto"/>
          <w:highlight w:val="none"/>
          <w:lang w:val="en-US" w:eastAsia="zh-CN"/>
        </w:rPr>
        <w:t>2.1.1.1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申报企业参加本次集中带量采购活动应当具备以下条件：</w:t>
      </w:r>
      <w:bookmarkEnd w:id="205"/>
      <w:bookmarkEnd w:id="206"/>
      <w:bookmarkEnd w:id="20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08" w:name="_Toc29673"/>
      <w:bookmarkStart w:id="209" w:name="_Toc381"/>
      <w:bookmarkStart w:id="210" w:name="_Toc19146"/>
      <w:r>
        <w:rPr>
          <w:rFonts w:hint="default" w:ascii="Nimbus Roman" w:hAnsi="Nimbus Roman" w:cs="Nimbus Roman"/>
          <w:b w:val="0"/>
          <w:bCs w:val="0"/>
          <w:color w:val="auto"/>
          <w:highlight w:val="none"/>
          <w:lang w:val="en-US" w:eastAsia="zh-CN"/>
        </w:rPr>
        <w:t>2.1.1.1.1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申报企业应具备“申报企业资格要求”中规定必须满足的全部要求。</w:t>
      </w:r>
      <w:bookmarkEnd w:id="208"/>
      <w:bookmarkEnd w:id="209"/>
      <w:bookmarkEnd w:id="21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11" w:name="_Toc31859"/>
      <w:bookmarkStart w:id="212" w:name="_Toc18626"/>
      <w:bookmarkStart w:id="213" w:name="_Toc3365"/>
      <w:r>
        <w:rPr>
          <w:rFonts w:hint="default" w:ascii="Nimbus Roman" w:hAnsi="Nimbus Roman" w:cs="Nimbus Roman"/>
          <w:b w:val="0"/>
          <w:bCs w:val="0"/>
          <w:color w:val="auto"/>
          <w:highlight w:val="none"/>
          <w:lang w:val="en-US" w:eastAsia="zh-CN"/>
        </w:rPr>
        <w:t>2.1.1.1.2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w:t>
      </w:r>
      <w:r>
        <w:rPr>
          <w:rFonts w:hint="default" w:ascii="Nimbus Roman" w:hAnsi="Nimbus Roman" w:cs="Nimbus Roman"/>
          <w:b w:val="0"/>
          <w:bCs w:val="0"/>
          <w:color w:val="auto"/>
          <w:highlight w:val="none"/>
          <w:lang w:val="en-US" w:eastAsia="zh-CN"/>
        </w:rPr>
        <w:t>应</w:t>
      </w:r>
      <w:r>
        <w:rPr>
          <w:rFonts w:hint="default" w:ascii="Nimbus Roman" w:hAnsi="Nimbus Roman" w:eastAsia="仿宋_GB2312" w:cs="Nimbus Roman"/>
          <w:b w:val="0"/>
          <w:bCs w:val="0"/>
          <w:color w:val="auto"/>
          <w:highlight w:val="none"/>
          <w:lang w:val="en-US" w:eastAsia="zh-CN"/>
        </w:rPr>
        <w:t>具有履行采购协议必须具备的能力。</w:t>
      </w:r>
      <w:bookmarkEnd w:id="211"/>
      <w:bookmarkEnd w:id="212"/>
      <w:bookmarkEnd w:id="21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color w:val="auto"/>
          <w:lang w:val="en-US" w:eastAsia="zh-CN"/>
        </w:rPr>
      </w:pPr>
      <w:bookmarkStart w:id="214" w:name="_Toc9841"/>
      <w:bookmarkStart w:id="215" w:name="_Toc22857"/>
      <w:bookmarkStart w:id="216" w:name="_Toc2841"/>
      <w:r>
        <w:rPr>
          <w:rFonts w:hint="default" w:ascii="Nimbus Roman" w:hAnsi="Nimbus Roman" w:cs="Nimbus Roman"/>
          <w:b w:val="0"/>
          <w:bCs w:val="0"/>
          <w:color w:val="auto"/>
          <w:highlight w:val="none"/>
          <w:lang w:val="en-US" w:eastAsia="zh-CN"/>
        </w:rPr>
        <w:t>2.1.1.1.3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申报企业对申报产品的质量和供应负责，作为供应保障的第一责任人，中选后</w:t>
      </w:r>
      <w:r>
        <w:rPr>
          <w:rFonts w:hint="default" w:ascii="Nimbus Roman" w:hAnsi="Nimbus Roman" w:cs="Nimbus Roman"/>
          <w:b w:val="0"/>
          <w:bCs w:val="0"/>
          <w:color w:val="auto"/>
          <w:highlight w:val="none"/>
          <w:lang w:val="en-US" w:eastAsia="zh-CN"/>
        </w:rPr>
        <w:t>能</w:t>
      </w:r>
      <w:r>
        <w:rPr>
          <w:rFonts w:hint="default" w:ascii="Nimbus Roman" w:hAnsi="Nimbus Roman" w:eastAsia="仿宋_GB2312" w:cs="Nimbus Roman"/>
          <w:b w:val="0"/>
          <w:bCs w:val="0"/>
          <w:color w:val="auto"/>
          <w:highlight w:val="none"/>
          <w:lang w:val="en-US" w:eastAsia="zh-CN"/>
        </w:rPr>
        <w:t>按要求及时、足量组织生产，并向配送企业</w:t>
      </w:r>
      <w:r>
        <w:rPr>
          <w:rFonts w:hint="default" w:ascii="Nimbus Roman" w:hAnsi="Nimbus Roman" w:cs="Nimbus Roman"/>
          <w:b w:val="0"/>
          <w:bCs w:val="0"/>
          <w:color w:val="auto"/>
          <w:highlight w:val="none"/>
          <w:lang w:val="en-US" w:eastAsia="zh-CN"/>
        </w:rPr>
        <w:t>或自行向医疗机构</w:t>
      </w:r>
      <w:r>
        <w:rPr>
          <w:rFonts w:hint="default" w:ascii="Nimbus Roman" w:hAnsi="Nimbus Roman" w:eastAsia="仿宋_GB2312" w:cs="Nimbus Roman"/>
          <w:b w:val="0"/>
          <w:bCs w:val="0"/>
          <w:color w:val="auto"/>
          <w:highlight w:val="none"/>
          <w:lang w:val="en-US" w:eastAsia="zh-CN"/>
        </w:rPr>
        <w:t>供应中选产品，满足医疗机构临床使用需求。境外医疗器械注册人指定的申报企业协助其履行相应的义务。</w:t>
      </w:r>
      <w:bookmarkEnd w:id="214"/>
      <w:bookmarkEnd w:id="215"/>
      <w:bookmarkEnd w:id="21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17" w:name="_Toc26179"/>
      <w:bookmarkStart w:id="218" w:name="_Toc11728"/>
      <w:bookmarkStart w:id="219" w:name="_Toc18684"/>
      <w:r>
        <w:rPr>
          <w:rFonts w:hint="default" w:ascii="Nimbus Roman" w:hAnsi="Nimbus Roman" w:cs="Nimbus Roman"/>
          <w:b w:val="0"/>
          <w:bCs w:val="0"/>
          <w:color w:val="auto"/>
          <w:highlight w:val="none"/>
          <w:lang w:val="en-US" w:eastAsia="zh-CN"/>
        </w:rPr>
        <w:t>2.1.1.2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申报企业应按照本采购文件的要求编制申报材料，申报材料应对本采购文件提出的要求和条件做出响应。</w:t>
      </w:r>
      <w:bookmarkEnd w:id="217"/>
      <w:bookmarkEnd w:id="218"/>
      <w:bookmarkEnd w:id="21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20" w:name="_Toc89"/>
      <w:bookmarkStart w:id="221" w:name="_Toc12774"/>
      <w:bookmarkStart w:id="222" w:name="_Toc10103"/>
      <w:r>
        <w:rPr>
          <w:rFonts w:hint="default" w:ascii="Nimbus Roman" w:hAnsi="Nimbus Roman" w:cs="Nimbus Roman"/>
          <w:b w:val="0"/>
          <w:bCs w:val="0"/>
          <w:color w:val="auto"/>
          <w:highlight w:val="none"/>
          <w:lang w:val="en-US" w:eastAsia="zh-CN"/>
        </w:rPr>
        <w:t>2.1.1.3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若申报企业</w:t>
      </w:r>
      <w:r>
        <w:rPr>
          <w:rFonts w:hint="default" w:ascii="Nimbus Roman" w:hAnsi="Nimbus Roman" w:cs="Nimbus Roman"/>
          <w:b w:val="0"/>
          <w:bCs w:val="0"/>
          <w:color w:val="auto"/>
          <w:highlight w:val="none"/>
          <w:lang w:val="en-US" w:eastAsia="zh-CN"/>
        </w:rPr>
        <w:t>或申报产品</w:t>
      </w:r>
      <w:r>
        <w:rPr>
          <w:rFonts w:hint="default" w:ascii="Nimbus Roman" w:hAnsi="Nimbus Roman" w:eastAsia="仿宋_GB2312" w:cs="Nimbus Roman"/>
          <w:b w:val="0"/>
          <w:bCs w:val="0"/>
          <w:color w:val="auto"/>
          <w:highlight w:val="none"/>
          <w:lang w:val="en-US" w:eastAsia="zh-CN"/>
        </w:rPr>
        <w:t>不具备“申报要求”中规定必须满足的全部要求，一经确认，联采办将视其为无效申报</w:t>
      </w:r>
      <w:r>
        <w:rPr>
          <w:rFonts w:hint="default" w:ascii="Nimbus Roman" w:hAnsi="Nimbus Roman" w:cs="Nimbus Roman"/>
          <w:b w:val="0"/>
          <w:bCs w:val="0"/>
          <w:color w:val="auto"/>
          <w:highlight w:val="none"/>
          <w:lang w:val="en-US" w:eastAsia="zh-CN"/>
        </w:rPr>
        <w:t>；已中选的，取消该企业在对应竞价组的中选资格</w:t>
      </w:r>
      <w:r>
        <w:rPr>
          <w:rFonts w:hint="default" w:ascii="Nimbus Roman" w:hAnsi="Nimbus Roman" w:eastAsia="仿宋_GB2312" w:cs="Nimbus Roman"/>
          <w:b w:val="0"/>
          <w:bCs w:val="0"/>
          <w:color w:val="auto"/>
          <w:highlight w:val="none"/>
          <w:lang w:val="en-US" w:eastAsia="zh-CN"/>
        </w:rPr>
        <w:t>。若申报企业涉嫌提供虚假证明材料的，一经确认，联采办将视其为无效申报；情节严重的，列入“违规名单”作出相应处置。</w:t>
      </w:r>
      <w:bookmarkEnd w:id="220"/>
      <w:bookmarkEnd w:id="221"/>
      <w:bookmarkEnd w:id="22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23" w:name="_Toc28535"/>
      <w:bookmarkStart w:id="224" w:name="_Toc670"/>
      <w:bookmarkStart w:id="225" w:name="_Toc9373"/>
      <w:r>
        <w:rPr>
          <w:rFonts w:hint="default" w:ascii="Nimbus Roman" w:hAnsi="Nimbus Roman" w:eastAsia="仿宋_GB2312" w:cs="Nimbus Roman"/>
          <w:b w:val="0"/>
          <w:bCs w:val="0"/>
          <w:color w:val="auto"/>
          <w:highlight w:val="none"/>
          <w:lang w:val="en-US" w:eastAsia="zh-CN"/>
        </w:rPr>
        <w:t>2.1.2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其他要求</w:t>
      </w:r>
      <w:bookmarkEnd w:id="223"/>
      <w:bookmarkEnd w:id="224"/>
      <w:bookmarkEnd w:id="22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26" w:name="_Toc17536"/>
      <w:bookmarkStart w:id="227" w:name="_Toc29330"/>
      <w:bookmarkStart w:id="228" w:name="_Toc10414"/>
      <w:r>
        <w:rPr>
          <w:rFonts w:hint="default" w:ascii="Nimbus Roman" w:hAnsi="Nimbus Roman" w:cs="Nimbus Roman"/>
          <w:b w:val="0"/>
          <w:bCs w:val="0"/>
          <w:color w:val="auto"/>
          <w:highlight w:val="none"/>
          <w:lang w:val="en-US" w:eastAsia="zh-CN"/>
        </w:rPr>
        <w:t>2.1.2.1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申报企业以27位医保耗材分类编码进行产品申报。</w:t>
      </w:r>
      <w:bookmarkEnd w:id="226"/>
      <w:bookmarkEnd w:id="227"/>
      <w:bookmarkEnd w:id="22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29" w:name="_Toc12011"/>
      <w:bookmarkStart w:id="230" w:name="_Toc24050"/>
      <w:bookmarkStart w:id="231" w:name="_Toc27975"/>
      <w:r>
        <w:rPr>
          <w:rFonts w:hint="default" w:ascii="Nimbus Roman" w:hAnsi="Nimbus Roman" w:cs="Nimbus Roman"/>
          <w:b w:val="0"/>
          <w:bCs w:val="0"/>
          <w:color w:val="auto"/>
          <w:highlight w:val="none"/>
          <w:lang w:val="en-US" w:eastAsia="zh-CN"/>
        </w:rPr>
        <w:t>2.1.2.2</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申报企业应在规定时限（详见后续通知）内登录“</w:t>
      </w:r>
      <w:r>
        <w:rPr>
          <w:rFonts w:hint="default" w:ascii="Nimbus Roman" w:hAnsi="Nimbus Roman" w:eastAsia="仿宋_GB2312" w:cs="Nimbus Roman"/>
          <w:b w:val="0"/>
          <w:bCs w:val="0"/>
          <w:color w:val="auto"/>
          <w:highlight w:val="none"/>
          <w:lang w:val="en-US" w:eastAsia="zh-CN"/>
        </w:rPr>
        <w:t>湖南招采管理系统</w:t>
      </w:r>
      <w:r>
        <w:rPr>
          <w:rFonts w:hint="default" w:ascii="Nimbus Roman" w:hAnsi="Nimbus Roman" w:cs="Nimbus Roman"/>
          <w:b w:val="0"/>
          <w:bCs w:val="0"/>
          <w:color w:val="auto"/>
          <w:highlight w:val="none"/>
          <w:lang w:val="en-US" w:eastAsia="zh-CN"/>
        </w:rPr>
        <w:t>”</w:t>
      </w:r>
      <w:r>
        <w:rPr>
          <w:rFonts w:hint="default" w:ascii="Nimbus Roman" w:hAnsi="Nimbus Roman" w:eastAsia="仿宋_GB2312" w:cs="Nimbus Roman"/>
          <w:b w:val="0"/>
          <w:bCs w:val="0"/>
          <w:color w:val="auto"/>
          <w:kern w:val="0"/>
          <w:sz w:val="32"/>
          <w:szCs w:val="32"/>
          <w:highlight w:val="none"/>
          <w:lang w:val="en-US" w:eastAsia="zh-CN"/>
        </w:rPr>
        <w:t>完成</w:t>
      </w:r>
      <w:r>
        <w:rPr>
          <w:rFonts w:hint="default" w:ascii="Nimbus Roman" w:hAnsi="Nimbus Roman" w:cs="Nimbus Roman"/>
          <w:b w:val="0"/>
          <w:bCs w:val="0"/>
          <w:color w:val="auto"/>
          <w:kern w:val="0"/>
          <w:sz w:val="32"/>
          <w:szCs w:val="32"/>
          <w:highlight w:val="none"/>
          <w:lang w:val="en-US" w:eastAsia="zh-CN"/>
        </w:rPr>
        <w:t>企业间关联关系申报工作</w:t>
      </w:r>
      <w:r>
        <w:rPr>
          <w:rFonts w:hint="default" w:ascii="Nimbus Roman" w:hAnsi="Nimbus Roman" w:eastAsia="仿宋_GB2312" w:cs="Nimbus Roman"/>
          <w:b w:val="0"/>
          <w:bCs w:val="0"/>
          <w:color w:val="auto"/>
          <w:kern w:val="0"/>
          <w:sz w:val="32"/>
          <w:szCs w:val="32"/>
          <w:highlight w:val="none"/>
          <w:lang w:val="en-US" w:eastAsia="zh-CN"/>
        </w:rPr>
        <w:t>。</w:t>
      </w:r>
      <w:bookmarkEnd w:id="229"/>
      <w:bookmarkEnd w:id="230"/>
      <w:bookmarkEnd w:id="231"/>
    </w:p>
    <w:p>
      <w:pPr>
        <w:keepNext w:val="0"/>
        <w:keepLines w:val="0"/>
        <w:pageBreakBefore w:val="0"/>
        <w:widowControl w:val="0"/>
        <w:numPr>
          <w:ilvl w:val="0"/>
          <w:numId w:val="0"/>
        </w:numPr>
        <w:kinsoku/>
        <w:wordWrap/>
        <w:overflowPunct/>
        <w:topLinePunct w:val="0"/>
        <w:autoSpaceDE w:val="0"/>
        <w:autoSpaceDN w:val="0"/>
        <w:bidi w:val="0"/>
        <w:adjustRightInd/>
        <w:snapToGrid/>
        <w:spacing w:before="0"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sz w:val="32"/>
          <w:szCs w:val="32"/>
          <w:highlight w:val="none"/>
          <w:lang w:val="en-US" w:eastAsia="zh-CN"/>
        </w:rPr>
      </w:pPr>
      <w:bookmarkStart w:id="232" w:name="_Toc17080"/>
      <w:bookmarkStart w:id="233" w:name="_Toc23869"/>
      <w:r>
        <w:rPr>
          <w:rFonts w:hint="default" w:ascii="Nimbus Roman" w:hAnsi="Nimbus Roman" w:eastAsia="黑体" w:cs="Nimbus Roman"/>
          <w:b w:val="0"/>
          <w:bCs w:val="0"/>
          <w:color w:val="auto"/>
          <w:sz w:val="32"/>
          <w:szCs w:val="32"/>
          <w:highlight w:val="none"/>
          <w:lang w:val="en-US" w:eastAsia="zh-CN"/>
        </w:rPr>
        <w:t>2.2</w:t>
      </w:r>
      <w:r>
        <w:rPr>
          <w:rFonts w:hint="eastAsia" w:ascii="Nimbus Roman" w:hAnsi="Nimbus Roman" w:eastAsia="黑体" w:cs="Nimbus Roman"/>
          <w:b w:val="0"/>
          <w:bCs w:val="0"/>
          <w:color w:val="auto"/>
          <w:sz w:val="32"/>
          <w:szCs w:val="32"/>
          <w:highlight w:val="none"/>
          <w:lang w:val="en-US" w:eastAsia="zh-CN"/>
        </w:rPr>
        <w:t xml:space="preserve"> </w:t>
      </w:r>
      <w:r>
        <w:rPr>
          <w:rFonts w:hint="default" w:ascii="Nimbus Roman" w:hAnsi="Nimbus Roman" w:eastAsia="黑体" w:cs="Nimbus Roman"/>
          <w:b w:val="0"/>
          <w:bCs w:val="0"/>
          <w:color w:val="auto"/>
          <w:sz w:val="32"/>
          <w:szCs w:val="32"/>
          <w:highlight w:val="none"/>
          <w:lang w:val="en-US" w:eastAsia="zh-CN"/>
        </w:rPr>
        <w:t>申报材料</w:t>
      </w:r>
      <w:bookmarkEnd w:id="200"/>
      <w:bookmarkEnd w:id="232"/>
      <w:bookmarkEnd w:id="233"/>
      <w:bookmarkStart w:id="234" w:name="_Toc5348"/>
    </w:p>
    <w:bookmarkEnd w:id="201"/>
    <w:bookmarkEnd w:id="234"/>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bookmarkStart w:id="235" w:name="_Toc31203"/>
      <w:bookmarkStart w:id="236" w:name="_Toc27590"/>
      <w:bookmarkStart w:id="237" w:name="_Toc15120"/>
      <w:bookmarkStart w:id="238" w:name="_Toc23199"/>
      <w:bookmarkStart w:id="239" w:name="_Toc2618"/>
      <w:bookmarkStart w:id="240" w:name="_Toc9434"/>
      <w:r>
        <w:rPr>
          <w:rFonts w:hint="default" w:ascii="Nimbus Roman" w:hAnsi="Nimbus Roman" w:eastAsia="仿宋_GB2312" w:cs="Nimbus Roman"/>
          <w:b w:val="0"/>
          <w:bCs w:val="0"/>
          <w:color w:val="auto"/>
          <w:sz w:val="32"/>
          <w:szCs w:val="32"/>
          <w:highlight w:val="none"/>
          <w:lang w:val="en-US" w:eastAsia="zh-CN"/>
        </w:rPr>
        <w:t>2.2.1</w:t>
      </w:r>
      <w:r>
        <w:rPr>
          <w:rFonts w:hint="eastAsia" w:ascii="Nimbus Roman" w:hAnsi="Nimbus Roman" w:eastAsia="仿宋_GB2312" w:cs="Nimbus Roman"/>
          <w:b w:val="0"/>
          <w:bCs w:val="0"/>
          <w:color w:val="auto"/>
          <w:sz w:val="32"/>
          <w:szCs w:val="32"/>
          <w:highlight w:val="none"/>
          <w:lang w:val="en-US" w:eastAsia="zh-CN"/>
        </w:rPr>
        <w:t xml:space="preserve"> </w:t>
      </w:r>
      <w:r>
        <w:rPr>
          <w:rFonts w:hint="default" w:ascii="Nimbus Roman" w:hAnsi="Nimbus Roman" w:eastAsia="仿宋_GB2312" w:cs="Nimbus Roman"/>
          <w:b w:val="0"/>
          <w:bCs w:val="0"/>
          <w:color w:val="auto"/>
          <w:sz w:val="32"/>
          <w:szCs w:val="32"/>
          <w:highlight w:val="none"/>
          <w:lang w:val="en-US" w:eastAsia="zh-CN"/>
        </w:rPr>
        <w:t>编制要求</w:t>
      </w:r>
      <w:bookmarkEnd w:id="235"/>
      <w:bookmarkEnd w:id="236"/>
      <w:bookmarkEnd w:id="237"/>
      <w:bookmarkStart w:id="241" w:name="_Toc1540"/>
      <w:bookmarkStart w:id="242" w:name="_Toc32016"/>
      <w:bookmarkStart w:id="243" w:name="_Toc27244"/>
    </w:p>
    <w:bookmarkEnd w:id="241"/>
    <w:bookmarkEnd w:id="242"/>
    <w:bookmarkEnd w:id="243"/>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bookmarkStart w:id="244" w:name="_Toc2343"/>
      <w:bookmarkStart w:id="245" w:name="_Toc20943"/>
      <w:bookmarkStart w:id="246" w:name="_Toc17464"/>
      <w:r>
        <w:rPr>
          <w:rFonts w:hint="default" w:ascii="Nimbus Roman" w:hAnsi="Nimbus Roman" w:eastAsia="仿宋_GB2312" w:cs="Nimbus Roman"/>
          <w:b w:val="0"/>
          <w:bCs w:val="0"/>
          <w:color w:val="auto"/>
          <w:sz w:val="32"/>
          <w:szCs w:val="32"/>
          <w:highlight w:val="none"/>
          <w:lang w:val="en-US" w:eastAsia="zh-CN"/>
        </w:rPr>
        <w:t>2.2.1.1 申报企业应仔细阅读采购文件中的所有内容，按采购文件的要求提供申报材料，并保证所提供的全部材料真实有效。申报材料中涉及的证书、证明材料等，必须在申报信息公开日当天仍在有效期内。若申报企业没有在规定时限内提交完整申报材料，或因申报材料没有对采购文件做出响应、申报材料内容不实等因素影响中选结果的，由申报企业负责。</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r>
        <w:rPr>
          <w:rFonts w:hint="default" w:ascii="Nimbus Roman" w:hAnsi="Nimbus Roman" w:eastAsia="仿宋_GB2312" w:cs="Nimbus Roman"/>
          <w:b w:val="0"/>
          <w:bCs w:val="0"/>
          <w:color w:val="auto"/>
          <w:sz w:val="32"/>
          <w:szCs w:val="32"/>
          <w:highlight w:val="none"/>
          <w:lang w:val="en-US" w:eastAsia="zh-CN"/>
        </w:rPr>
        <w:t>2.2.1.2 申报企业与联采办就申报递交的材料、交换的文件和来往信件，一律以中文书写。除申报材料中对技术规格另有规定外，应使用中华人民共和国法定计量单位和有关部门规定的医用耗材名称、医用耗材规格型号表示方法。</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r>
        <w:rPr>
          <w:rFonts w:hint="default" w:ascii="Nimbus Roman" w:hAnsi="Nimbus Roman" w:eastAsia="仿宋_GB2312" w:cs="Nimbus Roman"/>
          <w:b w:val="0"/>
          <w:bCs w:val="0"/>
          <w:color w:val="auto"/>
          <w:sz w:val="32"/>
          <w:szCs w:val="32"/>
          <w:highlight w:val="none"/>
          <w:lang w:val="en-US" w:eastAsia="zh-CN"/>
        </w:rPr>
        <w:t>2.2.1.3 申报材料须打印或用不褪色书写工具书写，每页均须加盖申报企业公章或骑缝章。</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r>
        <w:rPr>
          <w:rFonts w:hint="default" w:ascii="Nimbus Roman" w:hAnsi="Nimbus Roman" w:eastAsia="仿宋_GB2312" w:cs="Nimbus Roman"/>
          <w:b w:val="0"/>
          <w:bCs w:val="0"/>
          <w:color w:val="auto"/>
          <w:sz w:val="32"/>
          <w:szCs w:val="32"/>
          <w:highlight w:val="none"/>
          <w:lang w:val="en-US" w:eastAsia="zh-CN"/>
        </w:rPr>
        <w:t>2.2.1.4 申报企业除对笔误等作勘误外，不得行间插字、涂改或增删，如有修改错漏处，必须由企业法定代表人或其授权代表签字或盖章。</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2"/>
        <w:rPr>
          <w:rFonts w:hint="default" w:ascii="Nimbus Roman" w:hAnsi="Nimbus Roman" w:eastAsia="仿宋_GB2312" w:cs="Nimbus Roman"/>
          <w:b w:val="0"/>
          <w:bCs w:val="0"/>
          <w:color w:val="auto"/>
          <w:sz w:val="32"/>
          <w:szCs w:val="32"/>
          <w:highlight w:val="none"/>
          <w:lang w:val="en-US" w:eastAsia="zh-CN"/>
        </w:rPr>
      </w:pPr>
      <w:r>
        <w:rPr>
          <w:rFonts w:hint="default" w:ascii="Nimbus Roman" w:hAnsi="Nimbus Roman" w:eastAsia="仿宋_GB2312" w:cs="Nimbus Roman"/>
          <w:b w:val="0"/>
          <w:bCs w:val="0"/>
          <w:color w:val="auto"/>
          <w:sz w:val="32"/>
          <w:szCs w:val="32"/>
          <w:highlight w:val="none"/>
          <w:lang w:val="en-US" w:eastAsia="zh-CN"/>
        </w:rPr>
        <w:t>2.2.2 产品信息材料构成和审核</w:t>
      </w:r>
    </w:p>
    <w:p>
      <w:pPr>
        <w:pStyle w:val="8"/>
        <w:keepNext w:val="0"/>
        <w:keepLines w:val="0"/>
        <w:pageBreakBefore w:val="0"/>
        <w:kinsoku/>
        <w:wordWrap/>
        <w:overflowPunct/>
        <w:topLinePunct w:val="0"/>
        <w:autoSpaceDE/>
        <w:autoSpaceDN/>
        <w:bidi w:val="0"/>
        <w:adjustRightInd/>
        <w:spacing w:line="576" w:lineRule="exact"/>
        <w:ind w:firstLine="640" w:firstLineChars="200"/>
        <w:jc w:val="both"/>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2.2.2.1</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产品信息材料构成</w:t>
      </w:r>
    </w:p>
    <w:p>
      <w:pPr>
        <w:pStyle w:val="8"/>
        <w:keepNext w:val="0"/>
        <w:keepLines w:val="0"/>
        <w:pageBreakBefore w:val="0"/>
        <w:kinsoku/>
        <w:wordWrap/>
        <w:overflowPunct/>
        <w:topLinePunct w:val="0"/>
        <w:autoSpaceDE/>
        <w:autoSpaceDN/>
        <w:bidi w:val="0"/>
        <w:adjustRightInd/>
        <w:spacing w:line="576" w:lineRule="exact"/>
        <w:ind w:firstLine="640" w:firstLineChars="200"/>
        <w:jc w:val="both"/>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以下产品信息材料由申报企业登录“湖南招采管理系统”填报：</w:t>
      </w:r>
    </w:p>
    <w:p>
      <w:pPr>
        <w:pStyle w:val="8"/>
        <w:keepNext w:val="0"/>
        <w:keepLines w:val="0"/>
        <w:pageBreakBefore w:val="0"/>
        <w:kinsoku/>
        <w:wordWrap/>
        <w:overflowPunct/>
        <w:topLinePunct w:val="0"/>
        <w:autoSpaceDE/>
        <w:autoSpaceDN/>
        <w:bidi w:val="0"/>
        <w:adjustRightInd/>
        <w:spacing w:line="576" w:lineRule="exact"/>
        <w:ind w:firstLine="640" w:firstLineChars="200"/>
        <w:jc w:val="both"/>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sz w:val="32"/>
          <w:szCs w:val="32"/>
          <w:highlight w:val="none"/>
          <w:lang w:val="en-US" w:eastAsia="zh-CN"/>
        </w:rPr>
        <w:t>《呼吸介入类医用耗材集中带量采购申报承诺函》（附件2）、</w:t>
      </w:r>
      <w:r>
        <w:rPr>
          <w:rFonts w:hint="default" w:ascii="Nimbus Roman" w:hAnsi="Nimbus Roman" w:eastAsia="仿宋_GB2312" w:cs="Nimbus Roman"/>
          <w:b w:val="0"/>
          <w:bCs w:val="0"/>
          <w:color w:val="auto"/>
          <w:highlight w:val="none"/>
          <w:lang w:val="en-US" w:eastAsia="zh-CN"/>
        </w:rPr>
        <w:t>《成本报价承诺》（附件3）、《知识产权承诺书》（附件4）、《法定代表人授权书》（附件5）、企业资质材料和证明材料。</w:t>
      </w:r>
    </w:p>
    <w:p>
      <w:pPr>
        <w:keepNext w:val="0"/>
        <w:keepLines w:val="0"/>
        <w:pageBreakBefore w:val="0"/>
        <w:numPr>
          <w:ilvl w:val="-1"/>
          <w:numId w:val="0"/>
        </w:numPr>
        <w:kinsoku/>
        <w:wordWrap/>
        <w:overflowPunct/>
        <w:topLinePunct w:val="0"/>
        <w:autoSpaceDE/>
        <w:autoSpaceDN/>
        <w:bidi w:val="0"/>
        <w:adjustRightInd/>
        <w:spacing w:line="576" w:lineRule="exact"/>
        <w:ind w:firstLine="640" w:firstLineChars="200"/>
        <w:jc w:val="both"/>
        <w:outlineLvl w:val="1"/>
        <w:rPr>
          <w:rFonts w:hint="default" w:ascii="Nimbus Roman" w:hAnsi="Nimbus Roman"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w:t>
      </w:r>
      <w:r>
        <w:rPr>
          <w:rFonts w:hint="default" w:ascii="Nimbus Roman" w:hAnsi="Nimbus Roman" w:cs="Nimbus Roman"/>
          <w:b w:val="0"/>
          <w:bCs w:val="0"/>
          <w:color w:val="auto"/>
          <w:highlight w:val="none"/>
          <w:lang w:val="en-US" w:eastAsia="zh-CN"/>
        </w:rPr>
        <w:t>2</w:t>
      </w:r>
      <w:r>
        <w:rPr>
          <w:rFonts w:hint="default" w:ascii="Nimbus Roman" w:hAnsi="Nimbus Roman" w:eastAsia="仿宋_GB2312"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企业资质材料（申报多个品种仅</w:t>
      </w:r>
      <w:r>
        <w:rPr>
          <w:rFonts w:hint="default" w:ascii="Nimbus Roman" w:hAnsi="Nimbus Roman" w:cs="Nimbus Roman"/>
          <w:b w:val="0"/>
          <w:bCs w:val="0"/>
          <w:color w:val="auto"/>
          <w:highlight w:val="none"/>
          <w:lang w:val="en-US" w:eastAsia="zh-CN"/>
        </w:rPr>
        <w:t>需</w:t>
      </w:r>
      <w:r>
        <w:rPr>
          <w:rFonts w:hint="default" w:ascii="Nimbus Roman" w:hAnsi="Nimbus Roman" w:eastAsia="仿宋_GB2312" w:cs="Nimbus Roman"/>
          <w:b w:val="0"/>
          <w:bCs w:val="0"/>
          <w:color w:val="auto"/>
          <w:highlight w:val="none"/>
          <w:lang w:val="en-US" w:eastAsia="zh-CN"/>
        </w:rPr>
        <w:t>制作一份）</w:t>
      </w:r>
      <w:r>
        <w:rPr>
          <w:rFonts w:hint="default" w:ascii="Nimbus Roman" w:hAnsi="Nimbus Roman" w:cs="Nimbus Roman"/>
          <w:b w:val="0"/>
          <w:bCs w:val="0"/>
          <w:color w:val="auto"/>
          <w:highlight w:val="none"/>
          <w:lang w:val="en-US" w:eastAsia="zh-CN"/>
        </w:rPr>
        <w:t>包括：《营业执照》（正、副本）、境内医用耗材生产企业法人身份证（正、反面）或护照、境外医用耗材指定的代理人或进口商（报关企业）法人身份证（正、反面）或护照、境内医用耗材生产企业提供《医疗器械生产许可证》、境外医用耗材指定的代理人或进口商（报关企业）提供《医疗器械经营许可证》（正、副本）、境外医用耗材生产企业需额外提供《委托授权书》。</w:t>
      </w:r>
    </w:p>
    <w:p>
      <w:pPr>
        <w:keepNext w:val="0"/>
        <w:keepLines w:val="0"/>
        <w:pageBreakBefore w:val="0"/>
        <w:numPr>
          <w:ilvl w:val="-1"/>
          <w:numId w:val="0"/>
        </w:numPr>
        <w:kinsoku/>
        <w:wordWrap/>
        <w:overflowPunct/>
        <w:topLinePunct w:val="0"/>
        <w:autoSpaceDE/>
        <w:autoSpaceDN/>
        <w:bidi w:val="0"/>
        <w:adjustRightInd/>
        <w:spacing w:line="576" w:lineRule="exact"/>
        <w:ind w:firstLine="640" w:firstLineChars="200"/>
        <w:jc w:val="both"/>
        <w:outlineLvl w:val="1"/>
        <w:rPr>
          <w:rFonts w:hint="default" w:ascii="Nimbus Roman" w:hAnsi="Nimbus Roman"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w:t>
      </w:r>
      <w:r>
        <w:rPr>
          <w:rFonts w:hint="default" w:ascii="Nimbus Roman" w:hAnsi="Nimbus Roman" w:cs="Nimbus Roman"/>
          <w:b w:val="0"/>
          <w:bCs w:val="0"/>
          <w:color w:val="auto"/>
          <w:highlight w:val="none"/>
          <w:lang w:val="en-US" w:eastAsia="zh-CN"/>
        </w:rPr>
        <w:t>2</w:t>
      </w:r>
      <w:r>
        <w:rPr>
          <w:rFonts w:hint="default" w:ascii="Nimbus Roman" w:hAnsi="Nimbus Roman" w:eastAsia="仿宋_GB2312"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证明材料用于证明申报产品</w:t>
      </w:r>
      <w:r>
        <w:rPr>
          <w:rFonts w:hint="default" w:ascii="Nimbus Roman" w:hAnsi="Nimbus Roman" w:eastAsia="仿宋_GB2312" w:cs="Nimbus Roman"/>
          <w:b w:val="0"/>
          <w:bCs w:val="0"/>
          <w:color w:val="auto"/>
          <w:highlight w:val="none"/>
          <w:lang w:val="en-US" w:eastAsia="zh-CN"/>
        </w:rPr>
        <w:t>符合</w:t>
      </w:r>
      <w:r>
        <w:rPr>
          <w:rFonts w:hint="default" w:ascii="Nimbus Roman" w:hAnsi="Nimbus Roman" w:cs="Nimbus Roman"/>
          <w:b w:val="0"/>
          <w:bCs w:val="0"/>
          <w:color w:val="auto"/>
          <w:highlight w:val="none"/>
          <w:lang w:val="en-US" w:eastAsia="zh-CN"/>
        </w:rPr>
        <w:t>申报竞价组/加成</w:t>
      </w:r>
      <w:r>
        <w:rPr>
          <w:rFonts w:hint="default" w:ascii="Nimbus Roman" w:hAnsi="Nimbus Roman" w:eastAsia="仿宋_GB2312" w:cs="Nimbus Roman"/>
          <w:b w:val="0"/>
          <w:bCs w:val="0"/>
          <w:color w:val="auto"/>
          <w:highlight w:val="none"/>
          <w:lang w:val="en-US" w:eastAsia="zh-CN"/>
        </w:rPr>
        <w:t>资格</w:t>
      </w:r>
      <w:r>
        <w:rPr>
          <w:rFonts w:hint="default" w:ascii="Nimbus Roman" w:hAnsi="Nimbus Roman" w:cs="Nimbus Roman"/>
          <w:b w:val="0"/>
          <w:bCs w:val="0"/>
          <w:color w:val="auto"/>
          <w:highlight w:val="none"/>
          <w:lang w:val="en-US" w:eastAsia="zh-CN"/>
        </w:rPr>
        <w:t>。被认可的证明材料包括：</w:t>
      </w:r>
      <w:r>
        <w:rPr>
          <w:rFonts w:hint="default" w:ascii="Nimbus Roman" w:hAnsi="Nimbus Roman" w:cs="Nimbus Roman"/>
          <w:b w:val="0"/>
          <w:bCs w:val="0"/>
          <w:color w:val="auto"/>
          <w:sz w:val="32"/>
          <w:szCs w:val="32"/>
          <w:lang w:val="en-US" w:eastAsia="zh-CN" w:bidi="zh-CN"/>
        </w:rPr>
        <w:t>医疗器械</w:t>
      </w:r>
      <w:r>
        <w:rPr>
          <w:rFonts w:hint="default" w:ascii="Nimbus Roman" w:hAnsi="Nimbus Roman" w:cs="Nimbus Roman"/>
          <w:b w:val="0"/>
          <w:bCs w:val="0"/>
          <w:color w:val="auto"/>
          <w:highlight w:val="none"/>
          <w:lang w:val="en-US" w:eastAsia="zh-CN"/>
        </w:rPr>
        <w:t>注册证（产品名称、结构及组成、使用范围等内容）、医疗器械产品技术要求（产品规格型号及其划分说明、性能指标等内容）、产品说明书（产品性能、结构组成、适用范围等内容）、专利（专利摘要等内容）、</w:t>
      </w:r>
      <w:r>
        <w:rPr>
          <w:rFonts w:hint="default" w:ascii="Nimbus Roman" w:hAnsi="Nimbus Roman" w:eastAsia="仿宋_GB2312" w:cs="Nimbus Roman"/>
          <w:b w:val="0"/>
          <w:bCs w:val="0"/>
          <w:color w:val="auto"/>
          <w:sz w:val="32"/>
          <w:szCs w:val="32"/>
          <w:lang w:val="en-US" w:eastAsia="zh-CN" w:bidi="zh-CN"/>
        </w:rPr>
        <w:t>第</w:t>
      </w:r>
      <w:r>
        <w:rPr>
          <w:rFonts w:hint="default" w:ascii="Nimbus Roman" w:hAnsi="Nimbus Roman" w:cs="Nimbus Roman"/>
          <w:b w:val="0"/>
          <w:bCs w:val="0"/>
          <w:color w:val="auto"/>
          <w:highlight w:val="none"/>
          <w:lang w:val="en-US" w:eastAsia="zh-CN"/>
        </w:rPr>
        <w:t>三方检测报告（具备法定资质的第三方检测机构出具的检测报告）。</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2.2.2.</w:t>
      </w: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产品信息材料</w:t>
      </w:r>
      <w:r>
        <w:rPr>
          <w:rFonts w:hint="default" w:ascii="Nimbus Roman" w:hAnsi="Nimbus Roman" w:cs="Nimbus Roman"/>
          <w:b w:val="0"/>
          <w:bCs w:val="0"/>
          <w:color w:val="auto"/>
          <w:highlight w:val="none"/>
          <w:lang w:val="en-US" w:eastAsia="zh-CN"/>
        </w:rPr>
        <w:t>审核</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2.2.2.2.1</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企业线上提交产品信息材料后，联采办将予以审核，产品信息材料编制错误或存在缺陷的，联采办有权退回，未按时提交的，视同自动放弃。申报截止后，申报企业不得对产品信息材料作任何修改。</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2.2.2.2.2</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申报企业证明材料不足以证明相关产品符合对应竞价组或加成资格的，联采办有权取消相关产品进入对应竞价组或使用对应加成。</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2.2.2.2.3</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未按照本采购文件规定的格式要求编制、提交产品信息材料的，或因材料编排、标记等不符合要求导致联采办无法核实相关依据的，联采办有权退回该申报材料，由此产生的一切后果由申报企业自行承担。</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2.2.3</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报价材料构成和封装</w:t>
      </w:r>
    </w:p>
    <w:p>
      <w:pPr>
        <w:keepNext w:val="0"/>
        <w:keepLines w:val="0"/>
        <w:pageBreakBefore w:val="0"/>
        <w:numPr>
          <w:ilvl w:val="-1"/>
          <w:numId w:val="0"/>
        </w:numPr>
        <w:kinsoku/>
        <w:wordWrap/>
        <w:overflowPunct/>
        <w:topLinePunct w:val="0"/>
        <w:autoSpaceDE/>
        <w:autoSpaceDN/>
        <w:bidi w:val="0"/>
        <w:adjustRightInd/>
        <w:spacing w:line="576" w:lineRule="exact"/>
        <w:ind w:firstLine="640" w:firstLineChars="200"/>
        <w:jc w:val="both"/>
        <w:outlineLvl w:val="2"/>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2.2.3.1</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报价材料构成。报价</w:t>
      </w:r>
      <w:r>
        <w:rPr>
          <w:rFonts w:hint="default" w:ascii="Nimbus Roman" w:hAnsi="Nimbus Roman" w:eastAsia="仿宋_GB2312" w:cs="Nimbus Roman"/>
          <w:b w:val="0"/>
          <w:bCs w:val="0"/>
          <w:color w:val="auto"/>
          <w:highlight w:val="none"/>
          <w:lang w:val="en-US" w:eastAsia="zh-CN"/>
        </w:rPr>
        <w:t>信息一览表（附件</w:t>
      </w:r>
      <w:r>
        <w:rPr>
          <w:rFonts w:hint="default" w:ascii="Nimbus Roman" w:hAnsi="Nimbus Roman" w:cs="Nimbus Roman"/>
          <w:b w:val="0"/>
          <w:bCs w:val="0"/>
          <w:color w:val="auto"/>
          <w:highlight w:val="none"/>
          <w:lang w:val="en-US" w:eastAsia="zh-CN"/>
        </w:rPr>
        <w:t>6，系统内生成，下载填写后</w:t>
      </w:r>
      <w:r>
        <w:rPr>
          <w:rFonts w:hint="default" w:ascii="Nimbus Roman" w:hAnsi="Nimbus Roman" w:cs="Nimbus Roman"/>
          <w:color w:val="auto"/>
          <w:highlight w:val="none"/>
          <w:lang w:val="en-US"/>
        </w:rPr>
        <w:t>现场递交</w:t>
      </w:r>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w:t>
      </w:r>
    </w:p>
    <w:p>
      <w:pPr>
        <w:keepNext w:val="0"/>
        <w:keepLines w:val="0"/>
        <w:pageBreakBefore w:val="0"/>
        <w:numPr>
          <w:ilvl w:val="-1"/>
          <w:numId w:val="0"/>
        </w:numPr>
        <w:kinsoku/>
        <w:wordWrap/>
        <w:overflowPunct/>
        <w:topLinePunct w:val="0"/>
        <w:autoSpaceDE/>
        <w:autoSpaceDN/>
        <w:bidi w:val="0"/>
        <w:adjustRightInd/>
        <w:spacing w:line="576" w:lineRule="exact"/>
        <w:ind w:firstLine="640" w:firstLineChars="200"/>
        <w:jc w:val="both"/>
        <w:outlineLvl w:val="2"/>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2.2.3.2</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报价材料封装</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申报企业应将“报价材料”独立封装。“报价信息一览表”一式两份分别装入2个小信封密封，再将2个小信封共同装入1个大信封，在大信封上粘贴“信封封面样张”（附件7）。该信封封口处用封条密封，并标明“报价截止时间前不得启封”，封口处加盖申报企业公章或由被授权人签字。</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r>
        <w:rPr>
          <w:rFonts w:hint="default" w:ascii="Nimbus Roman" w:hAnsi="Nimbus Roman" w:eastAsia="仿宋_GB2312" w:cs="Nimbus Roman"/>
          <w:b w:val="0"/>
          <w:bCs w:val="0"/>
          <w:color w:val="auto"/>
          <w:highlight w:val="none"/>
          <w:lang w:val="en-US" w:eastAsia="zh-CN"/>
        </w:rPr>
        <w:t>申报企业未按要求对申报材料进行封装的，联采办有权拒绝接收。被授权人需携带身份证明原件和另一份《法定代表人授权书》（附件5）至递交现场，用于现场查验，无需密封。</w:t>
      </w:r>
    </w:p>
    <w:bookmarkEnd w:id="244"/>
    <w:bookmarkEnd w:id="245"/>
    <w:bookmarkEnd w:id="246"/>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bookmarkStart w:id="247" w:name="_Toc27230"/>
      <w:r>
        <w:rPr>
          <w:rFonts w:hint="default" w:ascii="Nimbus Roman" w:hAnsi="Nimbus Roman" w:eastAsia="黑体" w:cs="Nimbus Roman"/>
          <w:b w:val="0"/>
          <w:bCs w:val="0"/>
          <w:color w:val="auto"/>
          <w:highlight w:val="none"/>
          <w:lang w:val="en-US" w:eastAsia="zh-CN"/>
        </w:rPr>
        <w:t>2.</w:t>
      </w:r>
      <w:r>
        <w:rPr>
          <w:rFonts w:hint="eastAsia" w:ascii="Nimbus Roman" w:hAnsi="Nimbus Roman" w:eastAsia="黑体" w:cs="Nimbus Roman"/>
          <w:b w:val="0"/>
          <w:bCs w:val="0"/>
          <w:color w:val="auto"/>
          <w:highlight w:val="none"/>
          <w:lang w:val="en-US" w:eastAsia="zh-CN"/>
        </w:rPr>
        <w:t xml:space="preserve">3 </w:t>
      </w:r>
      <w:r>
        <w:rPr>
          <w:rFonts w:hint="default" w:ascii="Nimbus Roman" w:hAnsi="Nimbus Roman" w:eastAsia="黑体" w:cs="Nimbus Roman"/>
          <w:b w:val="0"/>
          <w:bCs w:val="0"/>
          <w:color w:val="auto"/>
          <w:highlight w:val="none"/>
          <w:lang w:val="en-US" w:eastAsia="zh-CN"/>
        </w:rPr>
        <w:t>分组规则</w:t>
      </w:r>
      <w:bookmarkEnd w:id="238"/>
      <w:bookmarkEnd w:id="239"/>
      <w:bookmarkEnd w:id="247"/>
    </w:p>
    <w:bookmarkEnd w:id="240"/>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48" w:name="_Toc2744"/>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3</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分组及最高有效申报价</w:t>
      </w:r>
    </w:p>
    <w:tbl>
      <w:tblPr>
        <w:tblStyle w:val="15"/>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3"/>
        <w:gridCol w:w="2397"/>
        <w:gridCol w:w="3261"/>
        <w:gridCol w:w="25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jc w:val="center"/>
        </w:trPr>
        <w:tc>
          <w:tcPr>
            <w:tcW w:w="4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i w:val="0"/>
                <w:iCs w:val="0"/>
                <w:color w:val="auto"/>
                <w:sz w:val="21"/>
                <w:szCs w:val="21"/>
                <w:u w:val="none"/>
              </w:rPr>
            </w:pPr>
            <w:r>
              <w:rPr>
                <w:rFonts w:hint="default" w:ascii="Nimbus Roman" w:hAnsi="Nimbus Roman" w:eastAsia="黑体" w:cs="Nimbus Roman"/>
                <w:i w:val="0"/>
                <w:iCs w:val="0"/>
                <w:color w:val="auto"/>
                <w:kern w:val="0"/>
                <w:sz w:val="21"/>
                <w:szCs w:val="21"/>
                <w:u w:val="none"/>
                <w:lang w:val="en-US" w:eastAsia="zh-CN" w:bidi="ar"/>
              </w:rPr>
              <w:t>序号</w:t>
            </w:r>
          </w:p>
        </w:tc>
        <w:tc>
          <w:tcPr>
            <w:tcW w:w="13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i w:val="0"/>
                <w:iCs w:val="0"/>
                <w:color w:val="auto"/>
                <w:sz w:val="21"/>
                <w:szCs w:val="21"/>
                <w:u w:val="none"/>
              </w:rPr>
            </w:pPr>
            <w:r>
              <w:rPr>
                <w:rFonts w:hint="default" w:ascii="Nimbus Roman" w:hAnsi="Nimbus Roman" w:eastAsia="黑体" w:cs="Nimbus Roman"/>
                <w:i w:val="0"/>
                <w:iCs w:val="0"/>
                <w:color w:val="auto"/>
                <w:kern w:val="0"/>
                <w:sz w:val="21"/>
                <w:szCs w:val="21"/>
                <w:u w:val="none"/>
                <w:lang w:val="en-US" w:eastAsia="zh-CN" w:bidi="ar"/>
              </w:rPr>
              <w:t>产品类别</w:t>
            </w:r>
          </w:p>
        </w:tc>
        <w:tc>
          <w:tcPr>
            <w:tcW w:w="179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i w:val="0"/>
                <w:iCs w:val="0"/>
                <w:color w:val="auto"/>
                <w:kern w:val="0"/>
                <w:sz w:val="21"/>
                <w:szCs w:val="21"/>
                <w:u w:val="none"/>
                <w:lang w:val="en-US" w:eastAsia="zh-CN" w:bidi="ar"/>
              </w:rPr>
            </w:pPr>
            <w:r>
              <w:rPr>
                <w:rFonts w:hint="default" w:ascii="Nimbus Roman" w:hAnsi="Nimbus Roman" w:eastAsia="黑体" w:cs="Nimbus Roman"/>
                <w:i w:val="0"/>
                <w:iCs w:val="0"/>
                <w:color w:val="auto"/>
                <w:kern w:val="0"/>
                <w:sz w:val="21"/>
                <w:szCs w:val="21"/>
                <w:u w:val="none"/>
                <w:lang w:val="en-US" w:eastAsia="zh-CN" w:bidi="ar"/>
              </w:rPr>
              <w:t>竞价组</w:t>
            </w:r>
          </w:p>
        </w:tc>
        <w:tc>
          <w:tcPr>
            <w:tcW w:w="14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黑体" w:cs="Nimbus Roman"/>
                <w:color w:val="auto"/>
                <w:sz w:val="21"/>
                <w:szCs w:val="21"/>
                <w:u w:val="none"/>
                <w:lang w:val="en-US" w:bidi="ar"/>
              </w:rPr>
            </w:pPr>
            <w:r>
              <w:rPr>
                <w:rFonts w:hint="default" w:ascii="Nimbus Roman" w:hAnsi="Nimbus Roman" w:eastAsia="黑体" w:cs="Nimbus Roman"/>
                <w:color w:val="auto"/>
                <w:sz w:val="21"/>
                <w:szCs w:val="21"/>
                <w:u w:val="none"/>
                <w:lang w:val="en-US" w:bidi="ar"/>
              </w:rPr>
              <w:t>最高有效申报价</w:t>
            </w:r>
          </w:p>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黑体" w:cs="Nimbus Roman"/>
                <w:i w:val="0"/>
                <w:iCs w:val="0"/>
                <w:color w:val="auto"/>
                <w:kern w:val="0"/>
                <w:sz w:val="21"/>
                <w:szCs w:val="21"/>
                <w:u w:val="none"/>
                <w:lang w:val="en-US" w:eastAsia="zh-CN" w:bidi="ar"/>
              </w:rPr>
            </w:pPr>
            <w:r>
              <w:rPr>
                <w:rFonts w:hint="eastAsia" w:ascii="Nimbus Roman" w:hAnsi="Nimbus Roman" w:eastAsia="黑体" w:cs="Nimbus Roman"/>
                <w:color w:val="auto"/>
                <w:sz w:val="21"/>
                <w:szCs w:val="21"/>
                <w:u w:val="none"/>
                <w:lang w:val="en-US" w:eastAsia="zh-CN" w:bidi="ar"/>
              </w:rPr>
              <w:t>(人民币，元）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restart"/>
            <w:tcBorders>
              <w:top w:val="single" w:color="000000" w:sz="4" w:space="0"/>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1"/>
                <w:szCs w:val="21"/>
                <w:u w:val="none"/>
              </w:rPr>
            </w:pPr>
            <w:r>
              <w:rPr>
                <w:rFonts w:hint="default" w:ascii="Nimbus Roman" w:hAnsi="Nimbus Roman" w:eastAsia="仿宋_GB2312" w:cs="Nimbus Roman"/>
                <w:i w:val="0"/>
                <w:iCs w:val="0"/>
                <w:color w:val="auto"/>
                <w:kern w:val="0"/>
                <w:sz w:val="21"/>
                <w:szCs w:val="21"/>
                <w:u w:val="none"/>
                <w:lang w:val="en-US" w:eastAsia="zh-CN" w:bidi="ar"/>
              </w:rPr>
              <w:t>1</w:t>
            </w:r>
          </w:p>
        </w:tc>
        <w:tc>
          <w:tcPr>
            <w:tcW w:w="1322" w:type="pct"/>
            <w:vMerge w:val="restart"/>
            <w:tcBorders>
              <w:top w:val="single" w:color="000000" w:sz="4" w:space="0"/>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一次性电子支气管镜/一次性成像导管</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一次性电子支气管镜/一次性成像导管-常规款</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一次性电子支气管镜/一次性成像导管-闭环取样款</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一次性电子支气管镜/一次性成像导管外径≤3.0 mm</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restart"/>
            <w:tcBorders>
              <w:top w:val="single" w:color="000000" w:sz="4" w:space="0"/>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1"/>
                <w:szCs w:val="21"/>
                <w:u w:val="none"/>
              </w:rPr>
            </w:pPr>
            <w:r>
              <w:rPr>
                <w:rFonts w:hint="default" w:ascii="Nimbus Roman" w:hAnsi="Nimbus Roman" w:eastAsia="仿宋_GB2312" w:cs="Nimbus Roman"/>
                <w:i w:val="0"/>
                <w:iCs w:val="0"/>
                <w:color w:val="auto"/>
                <w:kern w:val="0"/>
                <w:sz w:val="21"/>
                <w:szCs w:val="21"/>
                <w:u w:val="none"/>
                <w:lang w:val="en-US" w:eastAsia="zh-CN" w:bidi="ar"/>
              </w:rPr>
              <w:t>2</w:t>
            </w:r>
          </w:p>
        </w:tc>
        <w:tc>
          <w:tcPr>
            <w:tcW w:w="1322" w:type="pct"/>
            <w:vMerge w:val="restart"/>
            <w:tcBorders>
              <w:top w:val="single" w:color="000000" w:sz="4" w:space="0"/>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气道球囊扩张导管/支气管封堵导管</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气道球囊扩张导管-单级款</w:t>
            </w:r>
          </w:p>
        </w:tc>
        <w:tc>
          <w:tcPr>
            <w:tcW w:w="1400"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气道球囊扩张导管-多级款</w:t>
            </w:r>
          </w:p>
        </w:tc>
        <w:tc>
          <w:tcPr>
            <w:tcW w:w="1400"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支气管封堵导管</w:t>
            </w:r>
          </w:p>
        </w:tc>
        <w:tc>
          <w:tcPr>
            <w:tcW w:w="1400"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restart"/>
            <w:tcBorders>
              <w:top w:val="single" w:color="000000" w:sz="4" w:space="0"/>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1"/>
                <w:szCs w:val="21"/>
                <w:u w:val="none"/>
              </w:rPr>
            </w:pPr>
            <w:r>
              <w:rPr>
                <w:rFonts w:hint="default" w:ascii="Nimbus Roman" w:hAnsi="Nimbus Roman" w:eastAsia="仿宋_GB2312" w:cs="Nimbus Roman"/>
                <w:i w:val="0"/>
                <w:iCs w:val="0"/>
                <w:color w:val="auto"/>
                <w:kern w:val="0"/>
                <w:sz w:val="21"/>
                <w:szCs w:val="21"/>
                <w:u w:val="none"/>
                <w:lang w:val="en-US" w:eastAsia="zh-CN" w:bidi="ar"/>
              </w:rPr>
              <w:t>3</w:t>
            </w:r>
          </w:p>
        </w:tc>
        <w:tc>
          <w:tcPr>
            <w:tcW w:w="1322" w:type="pct"/>
            <w:vMerge w:val="restart"/>
            <w:tcBorders>
              <w:top w:val="single" w:color="000000" w:sz="4" w:space="0"/>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气管支气管支架</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气管支气管支架-非覆膜款</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3316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气管支气管支架-覆膜款</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8085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restart"/>
            <w:tcBorders>
              <w:top w:val="single" w:color="000000" w:sz="4" w:space="0"/>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sz w:val="21"/>
                <w:szCs w:val="21"/>
                <w:u w:val="none"/>
                <w:lang w:val="en-US" w:eastAsia="zh-CN" w:bidi="zh-CN"/>
              </w:rPr>
            </w:pPr>
            <w:r>
              <w:rPr>
                <w:rFonts w:hint="default" w:ascii="Nimbus Roman" w:hAnsi="Nimbus Roman" w:eastAsia="仿宋_GB2312" w:cs="Nimbus Roman"/>
                <w:i w:val="0"/>
                <w:iCs w:val="0"/>
                <w:color w:val="auto"/>
                <w:kern w:val="0"/>
                <w:sz w:val="21"/>
                <w:szCs w:val="21"/>
                <w:u w:val="none"/>
                <w:lang w:val="en-US" w:eastAsia="zh-CN" w:bidi="ar"/>
              </w:rPr>
              <w:t>4</w:t>
            </w:r>
          </w:p>
        </w:tc>
        <w:tc>
          <w:tcPr>
            <w:tcW w:w="1322" w:type="pct"/>
            <w:vMerge w:val="restart"/>
            <w:tcBorders>
              <w:top w:val="single" w:color="000000" w:sz="4" w:space="0"/>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气道导丝</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气道导丝-常规款</w:t>
            </w:r>
          </w:p>
        </w:tc>
        <w:tc>
          <w:tcPr>
            <w:tcW w:w="1400"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气道导丝-镍钛合金≥80%</w:t>
            </w:r>
          </w:p>
        </w:tc>
        <w:tc>
          <w:tcPr>
            <w:tcW w:w="1400" w:type="pct"/>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1490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restart"/>
            <w:tcBorders>
              <w:top w:val="single" w:color="000000" w:sz="4" w:space="0"/>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sz w:val="21"/>
                <w:szCs w:val="21"/>
                <w:u w:val="none"/>
                <w:lang w:val="en-US" w:eastAsia="zh-CN" w:bidi="zh-CN"/>
              </w:rPr>
            </w:pPr>
            <w:r>
              <w:rPr>
                <w:rFonts w:hint="default" w:ascii="Nimbus Roman" w:hAnsi="Nimbus Roman" w:eastAsia="仿宋_GB2312" w:cs="Nimbus Roman"/>
                <w:i w:val="0"/>
                <w:iCs w:val="0"/>
                <w:color w:val="auto"/>
                <w:kern w:val="0"/>
                <w:sz w:val="21"/>
                <w:szCs w:val="21"/>
                <w:u w:val="none"/>
                <w:lang w:val="en-US" w:eastAsia="zh-CN" w:bidi="ar"/>
              </w:rPr>
              <w:t>5</w:t>
            </w:r>
          </w:p>
        </w:tc>
        <w:tc>
          <w:tcPr>
            <w:tcW w:w="1322" w:type="pct"/>
            <w:vMerge w:val="restart"/>
            <w:tcBorders>
              <w:top w:val="single" w:color="000000" w:sz="4" w:space="0"/>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呼吸介入用活检钳</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呼吸介入用活检钳-常规款</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呼吸介入用活检钳-外径≤1.2mm</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433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restart"/>
            <w:tcBorders>
              <w:top w:val="single" w:color="000000" w:sz="4" w:space="0"/>
              <w:left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sz w:val="21"/>
                <w:szCs w:val="21"/>
                <w:u w:val="none"/>
                <w:lang w:val="en-US" w:eastAsia="zh-CN" w:bidi="zh-CN"/>
              </w:rPr>
            </w:pPr>
            <w:r>
              <w:rPr>
                <w:rFonts w:hint="default" w:ascii="Nimbus Roman" w:hAnsi="Nimbus Roman" w:cs="Nimbus Roman"/>
                <w:i w:val="0"/>
                <w:iCs w:val="0"/>
                <w:color w:val="auto"/>
                <w:sz w:val="21"/>
                <w:szCs w:val="21"/>
                <w:u w:val="none"/>
                <w:lang w:val="en-US" w:eastAsia="zh-CN" w:bidi="zh-CN"/>
              </w:rPr>
              <w:t>6</w:t>
            </w:r>
          </w:p>
        </w:tc>
        <w:tc>
          <w:tcPr>
            <w:tcW w:w="1322" w:type="pct"/>
            <w:vMerge w:val="restart"/>
            <w:tcBorders>
              <w:top w:val="single" w:color="000000" w:sz="4" w:space="0"/>
              <w:left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呼吸介入用细胞刷</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w:t>
            </w:r>
            <w:r>
              <w:rPr>
                <w:rFonts w:hint="default" w:ascii="Nimbus Roman" w:hAnsi="Nimbus Roman" w:cs="Nimbus Roman"/>
                <w:i w:val="0"/>
                <w:iCs w:val="0"/>
                <w:color w:val="auto"/>
                <w:kern w:val="0"/>
                <w:sz w:val="21"/>
                <w:szCs w:val="21"/>
                <w:u w:val="none"/>
                <w:lang w:val="en-US" w:eastAsia="zh-CN" w:bidi="ar"/>
              </w:rPr>
              <w:t>细胞刷</w:t>
            </w:r>
            <w:r>
              <w:rPr>
                <w:rFonts w:hint="default" w:ascii="Nimbus Roman" w:hAnsi="Nimbus Roman" w:eastAsia="仿宋_GB2312" w:cs="Nimbus Roman"/>
                <w:i w:val="0"/>
                <w:iCs w:val="0"/>
                <w:color w:val="auto"/>
                <w:kern w:val="0"/>
                <w:sz w:val="21"/>
                <w:szCs w:val="21"/>
                <w:u w:val="none"/>
                <w:lang w:val="en-US" w:eastAsia="zh-CN" w:bidi="ar"/>
              </w:rPr>
              <w:t>-常规款</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vMerge w:val="continue"/>
            <w:tcBorders>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322" w:type="pct"/>
            <w:vMerge w:val="continue"/>
            <w:tcBorders>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w:t>
            </w:r>
            <w:r>
              <w:rPr>
                <w:rFonts w:hint="default" w:ascii="Nimbus Roman" w:hAnsi="Nimbus Roman" w:cs="Nimbus Roman"/>
                <w:i w:val="0"/>
                <w:iCs w:val="0"/>
                <w:color w:val="auto"/>
                <w:kern w:val="0"/>
                <w:sz w:val="21"/>
                <w:szCs w:val="21"/>
                <w:u w:val="none"/>
                <w:lang w:val="en-US" w:eastAsia="zh-CN" w:bidi="ar"/>
              </w:rPr>
              <w:t>细胞刷</w:t>
            </w:r>
            <w:r>
              <w:rPr>
                <w:rFonts w:hint="default" w:ascii="Nimbus Roman" w:hAnsi="Nimbus Roman" w:eastAsia="仿宋_GB2312" w:cs="Nimbus Roman"/>
                <w:i w:val="0"/>
                <w:iCs w:val="0"/>
                <w:color w:val="auto"/>
                <w:kern w:val="0"/>
                <w:sz w:val="21"/>
                <w:szCs w:val="21"/>
                <w:u w:val="none"/>
                <w:lang w:val="en-US" w:eastAsia="zh-CN" w:bidi="ar"/>
              </w:rPr>
              <w:t>-外径≤1.2mm</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ind w:left="0" w:leftChars="0" w:right="0" w:rightChars="0"/>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1"/>
                <w:szCs w:val="21"/>
                <w:u w:val="none"/>
                <w:lang w:val="en-US" w:eastAsia="zh-CN"/>
              </w:rPr>
            </w:pPr>
            <w:r>
              <w:rPr>
                <w:rFonts w:hint="default" w:ascii="Nimbus Roman" w:hAnsi="Nimbus Roman" w:cs="Nimbus Roman"/>
                <w:i w:val="0"/>
                <w:iCs w:val="0"/>
                <w:color w:val="auto"/>
                <w:sz w:val="21"/>
                <w:szCs w:val="21"/>
                <w:u w:val="none"/>
                <w:lang w:val="en-US" w:eastAsia="zh-CN"/>
              </w:rPr>
              <w:t>7</w:t>
            </w:r>
          </w:p>
        </w:tc>
        <w:tc>
          <w:tcPr>
            <w:tcW w:w="1322"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呼吸介入用灌洗管</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呼吸介入用灌洗管</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476" w:type="pct"/>
            <w:tcBorders>
              <w:top w:val="single" w:color="000000" w:sz="4" w:space="0"/>
              <w:left w:val="single" w:color="000000" w:sz="4" w:space="0"/>
              <w:bottom w:val="single" w:color="000000"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1"/>
                <w:szCs w:val="21"/>
                <w:u w:val="none"/>
                <w:lang w:val="en-US" w:eastAsia="zh-CN"/>
              </w:rPr>
            </w:pPr>
            <w:r>
              <w:rPr>
                <w:rFonts w:hint="default" w:ascii="Nimbus Roman" w:hAnsi="Nimbus Roman" w:cs="Nimbus Roman"/>
                <w:i w:val="0"/>
                <w:iCs w:val="0"/>
                <w:color w:val="auto"/>
                <w:sz w:val="21"/>
                <w:szCs w:val="21"/>
                <w:u w:val="none"/>
                <w:lang w:val="en-US" w:eastAsia="zh-CN"/>
              </w:rPr>
              <w:t>8</w:t>
            </w:r>
          </w:p>
        </w:tc>
        <w:tc>
          <w:tcPr>
            <w:tcW w:w="1322"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呼吸介入用喷洒管</w:t>
            </w:r>
          </w:p>
        </w:tc>
        <w:tc>
          <w:tcPr>
            <w:tcW w:w="1799"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eastAsia="仿宋_GB2312" w:cs="Nimbus Roman"/>
                <w:i w:val="0"/>
                <w:iCs w:val="0"/>
                <w:color w:val="auto"/>
                <w:kern w:val="0"/>
                <w:sz w:val="21"/>
                <w:szCs w:val="21"/>
                <w:u w:val="none"/>
                <w:lang w:val="en-US" w:eastAsia="zh-CN" w:bidi="ar"/>
              </w:rPr>
              <w:t>呼吸介入用喷洒管</w:t>
            </w:r>
          </w:p>
        </w:tc>
        <w:tc>
          <w:tcPr>
            <w:tcW w:w="1400" w:type="pc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kern w:val="0"/>
                <w:sz w:val="21"/>
                <w:szCs w:val="21"/>
                <w:u w:val="none"/>
                <w:lang w:val="en-US" w:eastAsia="zh-CN" w:bidi="ar"/>
              </w:rPr>
            </w:pPr>
            <w:r>
              <w:rPr>
                <w:rFonts w:hint="default" w:ascii="Nimbus Roman" w:hAnsi="Nimbus Roman" w:cs="Nimbus Roman"/>
                <w:i w:val="0"/>
                <w:iCs w:val="0"/>
                <w:color w:val="auto"/>
                <w:kern w:val="0"/>
                <w:sz w:val="21"/>
                <w:szCs w:val="21"/>
                <w:u w:val="none"/>
                <w:lang w:val="en-US" w:eastAsia="zh-CN" w:bidi="ar"/>
              </w:rPr>
              <w:t>65</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before="0" w:line="576" w:lineRule="exact"/>
        <w:ind w:firstLine="560" w:firstLineChars="200"/>
        <w:jc w:val="both"/>
        <w:textAlignment w:val="auto"/>
        <w:outlineLvl w:val="9"/>
        <w:rPr>
          <w:rFonts w:hint="default" w:ascii="Nimbus Roman" w:hAnsi="Nimbus Roman" w:cs="Nimbus Roman"/>
          <w:b w:val="0"/>
          <w:bCs w:val="0"/>
          <w:color w:val="auto"/>
          <w:sz w:val="28"/>
          <w:szCs w:val="28"/>
          <w:lang w:val="en-US" w:eastAsia="zh-CN" w:bidi="zh-CN"/>
        </w:rPr>
      </w:pPr>
      <w:r>
        <w:rPr>
          <w:rFonts w:hint="default" w:ascii="Nimbus Roman" w:hAnsi="Nimbus Roman" w:cs="Nimbus Roman"/>
          <w:b w:val="0"/>
          <w:bCs w:val="0"/>
          <w:color w:val="auto"/>
          <w:sz w:val="28"/>
          <w:szCs w:val="28"/>
          <w:lang w:val="en-US" w:eastAsia="zh-CN" w:bidi="zh-CN"/>
        </w:rPr>
        <w:t>说明：1.一次性电子支气管镜/一次性成像导管-闭环取样款：指产品包装内包含封闭式取样收集器，可通过一体化硬质锁止结构与产品直接连接，实现快速闭环取样；2.一次性电子支气管镜/一次性成像导管外径≤3.0 mm：指产品插入部最大外径≤3.0 mm；3.气道球囊扩张导管-多级款：指产品具备分阶段、多步骤扩张能力；4.气管支气管支架-覆膜款：指支架的表面覆盖一层高分子薄膜材料；5.气道导丝-镍钛合金≥80%：指产品芯丝中主体材质成分为镍钛合金，且镍钛合金含量≥80%；6.呼吸介入用活检钳-外径≤1.2mm：指产品插入部最大外径≤1.2mm；7.呼吸介入用细胞刷-外径≤1.2mm：指产品插入部最大外径≤1.2mm。</w:t>
      </w:r>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rPr>
          <w:rFonts w:hint="default" w:ascii="Nimbus Roman" w:hAnsi="Nimbus Roman" w:eastAsia="仿宋_GB2312" w:cs="Nimbus Roman"/>
          <w:color w:val="auto"/>
          <w:sz w:val="32"/>
          <w:szCs w:val="32"/>
          <w:highlight w:val="none"/>
          <w:lang w:val="en-US" w:eastAsia="zh-CN" w:bidi="ar-SA"/>
        </w:rPr>
      </w:pPr>
      <w:r>
        <w:rPr>
          <w:rFonts w:hint="default" w:ascii="Nimbus Roman" w:hAnsi="Nimbus Roman" w:eastAsia="仿宋_GB2312" w:cs="Nimbus Roman"/>
          <w:color w:val="auto"/>
          <w:sz w:val="32"/>
          <w:szCs w:val="32"/>
          <w:highlight w:val="none"/>
          <w:lang w:val="en-US" w:eastAsia="zh-CN" w:bidi="ar-SA"/>
        </w:rPr>
        <w:t>2.</w:t>
      </w:r>
      <w:r>
        <w:rPr>
          <w:rFonts w:hint="eastAsia" w:ascii="Nimbus Roman" w:hAnsi="Nimbus Roman" w:eastAsia="仿宋_GB2312" w:cs="Nimbus Roman"/>
          <w:color w:val="auto"/>
          <w:sz w:val="32"/>
          <w:szCs w:val="32"/>
          <w:highlight w:val="none"/>
          <w:lang w:val="en-US" w:eastAsia="zh-CN" w:bidi="ar-SA"/>
        </w:rPr>
        <w:t>3</w:t>
      </w:r>
      <w:r>
        <w:rPr>
          <w:rFonts w:hint="default" w:ascii="Nimbus Roman" w:hAnsi="Nimbus Roman" w:eastAsia="仿宋_GB2312" w:cs="Nimbus Roman"/>
          <w:color w:val="auto"/>
          <w:sz w:val="32"/>
          <w:szCs w:val="32"/>
          <w:highlight w:val="none"/>
          <w:lang w:val="en-US" w:eastAsia="zh-CN" w:bidi="ar-SA"/>
        </w:rPr>
        <w:t>.2</w:t>
      </w:r>
      <w:r>
        <w:rPr>
          <w:rFonts w:hint="eastAsia" w:ascii="Nimbus Roman" w:hAnsi="Nimbus Roman" w:cs="Nimbus Roman"/>
          <w:color w:val="auto"/>
          <w:sz w:val="32"/>
          <w:szCs w:val="32"/>
          <w:highlight w:val="none"/>
          <w:lang w:val="en-US" w:eastAsia="zh-CN" w:bidi="ar-SA"/>
        </w:rPr>
        <w:t xml:space="preserve"> </w:t>
      </w:r>
      <w:r>
        <w:rPr>
          <w:rFonts w:hint="default" w:ascii="Nimbus Roman" w:hAnsi="Nimbus Roman" w:eastAsia="仿宋_GB2312" w:cs="Nimbus Roman"/>
          <w:color w:val="auto"/>
          <w:sz w:val="32"/>
          <w:szCs w:val="32"/>
          <w:highlight w:val="none"/>
          <w:lang w:val="en-US" w:eastAsia="zh-CN" w:bidi="ar-SA"/>
        </w:rPr>
        <w:t>竞价单元分组说明</w:t>
      </w:r>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rPr>
          <w:rFonts w:hint="default" w:ascii="Nimbus Roman" w:hAnsi="Nimbus Roman" w:eastAsia="仿宋_GB2312" w:cs="Nimbus Roman"/>
          <w:color w:val="auto"/>
          <w:sz w:val="32"/>
          <w:szCs w:val="32"/>
          <w:highlight w:val="none"/>
          <w:lang w:val="en-US" w:eastAsia="zh-CN" w:bidi="ar-SA"/>
        </w:rPr>
      </w:pPr>
      <w:r>
        <w:rPr>
          <w:rFonts w:hint="default" w:ascii="Nimbus Roman" w:hAnsi="Nimbus Roman" w:cs="Nimbus Roman"/>
          <w:color w:val="auto"/>
          <w:sz w:val="32"/>
          <w:szCs w:val="32"/>
          <w:highlight w:val="none"/>
          <w:lang w:val="en-US" w:eastAsia="zh-CN" w:bidi="ar-SA"/>
        </w:rPr>
        <w:t>2.</w:t>
      </w:r>
      <w:r>
        <w:rPr>
          <w:rFonts w:hint="eastAsia" w:ascii="Nimbus Roman" w:hAnsi="Nimbus Roman" w:cs="Nimbus Roman"/>
          <w:color w:val="auto"/>
          <w:sz w:val="32"/>
          <w:szCs w:val="32"/>
          <w:highlight w:val="none"/>
          <w:lang w:val="en-US" w:eastAsia="zh-CN" w:bidi="ar-SA"/>
        </w:rPr>
        <w:t>3</w:t>
      </w:r>
      <w:r>
        <w:rPr>
          <w:rFonts w:hint="default" w:ascii="Nimbus Roman" w:hAnsi="Nimbus Roman" w:cs="Nimbus Roman"/>
          <w:color w:val="auto"/>
          <w:sz w:val="32"/>
          <w:szCs w:val="32"/>
          <w:highlight w:val="none"/>
          <w:lang w:val="en-US" w:eastAsia="zh-CN" w:bidi="ar-SA"/>
        </w:rPr>
        <w:t>.2.1</w:t>
      </w:r>
      <w:r>
        <w:rPr>
          <w:rFonts w:hint="eastAsia" w:ascii="Nimbus Roman" w:hAnsi="Nimbus Roman" w:cs="Nimbus Roman"/>
          <w:color w:val="auto"/>
          <w:sz w:val="32"/>
          <w:szCs w:val="32"/>
          <w:highlight w:val="none"/>
          <w:lang w:val="en-US" w:eastAsia="zh-CN" w:bidi="ar-SA"/>
        </w:rPr>
        <w:t xml:space="preserve"> </w:t>
      </w:r>
      <w:r>
        <w:rPr>
          <w:rFonts w:hint="default" w:ascii="Nimbus Roman" w:hAnsi="Nimbus Roman" w:eastAsia="仿宋_GB2312" w:cs="Nimbus Roman"/>
          <w:color w:val="auto"/>
          <w:sz w:val="32"/>
          <w:szCs w:val="32"/>
          <w:highlight w:val="none"/>
          <w:lang w:val="en-US" w:eastAsia="zh-CN" w:bidi="ar-SA"/>
        </w:rPr>
        <w:t>竞价单元为企业竞价的最小单位。</w:t>
      </w:r>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rPr>
          <w:rFonts w:hint="default" w:ascii="Nimbus Roman" w:hAnsi="Nimbus Roman" w:eastAsia="仿宋_GB2312" w:cs="Nimbus Roman"/>
          <w:color w:val="auto"/>
          <w:sz w:val="32"/>
          <w:szCs w:val="32"/>
          <w:highlight w:val="none"/>
          <w:lang w:val="en-US" w:eastAsia="zh-CN" w:bidi="ar-SA"/>
        </w:rPr>
      </w:pPr>
      <w:r>
        <w:rPr>
          <w:rFonts w:hint="default" w:ascii="Nimbus Roman" w:hAnsi="Nimbus Roman" w:cs="Nimbus Roman"/>
          <w:color w:val="auto"/>
          <w:sz w:val="32"/>
          <w:szCs w:val="32"/>
          <w:highlight w:val="none"/>
          <w:lang w:val="en-US" w:eastAsia="zh-CN" w:bidi="ar-SA"/>
        </w:rPr>
        <w:t>2.</w:t>
      </w:r>
      <w:r>
        <w:rPr>
          <w:rFonts w:hint="eastAsia" w:ascii="Nimbus Roman" w:hAnsi="Nimbus Roman" w:cs="Nimbus Roman"/>
          <w:color w:val="auto"/>
          <w:sz w:val="32"/>
          <w:szCs w:val="32"/>
          <w:highlight w:val="none"/>
          <w:lang w:val="en-US" w:eastAsia="zh-CN" w:bidi="ar-SA"/>
        </w:rPr>
        <w:t>3</w:t>
      </w:r>
      <w:r>
        <w:rPr>
          <w:rFonts w:hint="default" w:ascii="Nimbus Roman" w:hAnsi="Nimbus Roman" w:cs="Nimbus Roman"/>
          <w:color w:val="auto"/>
          <w:sz w:val="32"/>
          <w:szCs w:val="32"/>
          <w:highlight w:val="none"/>
          <w:lang w:val="en-US" w:eastAsia="zh-CN" w:bidi="ar-SA"/>
        </w:rPr>
        <w:t>.2.</w:t>
      </w:r>
      <w:r>
        <w:rPr>
          <w:rFonts w:hint="default" w:ascii="Nimbus Roman" w:hAnsi="Nimbus Roman" w:eastAsia="仿宋_GB2312" w:cs="Nimbus Roman"/>
          <w:color w:val="auto"/>
          <w:sz w:val="32"/>
          <w:szCs w:val="32"/>
          <w:highlight w:val="none"/>
          <w:lang w:val="en-US" w:eastAsia="zh-CN" w:bidi="ar-SA"/>
        </w:rPr>
        <w:t>2</w:t>
      </w:r>
      <w:r>
        <w:rPr>
          <w:rFonts w:hint="eastAsia" w:ascii="Nimbus Roman" w:hAnsi="Nimbus Roman" w:cs="Nimbus Roman"/>
          <w:color w:val="auto"/>
          <w:sz w:val="32"/>
          <w:szCs w:val="32"/>
          <w:highlight w:val="none"/>
          <w:lang w:val="en-US" w:eastAsia="zh-CN" w:bidi="ar-SA"/>
        </w:rPr>
        <w:t xml:space="preserve"> </w:t>
      </w:r>
      <w:r>
        <w:rPr>
          <w:rFonts w:hint="default" w:ascii="Nimbus Roman" w:hAnsi="Nimbus Roman" w:eastAsia="仿宋_GB2312" w:cs="Nimbus Roman"/>
          <w:color w:val="auto"/>
          <w:sz w:val="32"/>
          <w:szCs w:val="32"/>
          <w:highlight w:val="none"/>
          <w:lang w:val="en-US" w:eastAsia="zh-CN" w:bidi="ar-SA"/>
        </w:rPr>
        <w:t>各竞价组按市场占有率分为2个竞价单元</w:t>
      </w:r>
      <w:r>
        <w:rPr>
          <w:rFonts w:hint="default" w:ascii="Nimbus Roman" w:hAnsi="Nimbus Roman" w:cs="Nimbus Roman"/>
          <w:color w:val="auto"/>
          <w:sz w:val="32"/>
          <w:szCs w:val="32"/>
          <w:highlight w:val="none"/>
          <w:lang w:val="en-US" w:eastAsia="zh-CN" w:bidi="ar-SA"/>
        </w:rPr>
        <w:t>。</w:t>
      </w:r>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rPr>
          <w:rFonts w:hint="default" w:ascii="Nimbus Roman" w:hAnsi="Nimbus Roman" w:cs="Nimbus Roman"/>
          <w:color w:val="auto"/>
          <w:sz w:val="32"/>
          <w:szCs w:val="32"/>
          <w:highlight w:val="none"/>
          <w:lang w:val="en-US" w:eastAsia="zh-CN" w:bidi="ar-SA"/>
        </w:rPr>
      </w:pPr>
      <w:r>
        <w:rPr>
          <w:rFonts w:hint="default" w:ascii="Nimbus Roman" w:hAnsi="Nimbus Roman" w:eastAsia="仿宋_GB2312" w:cs="Nimbus Roman"/>
          <w:color w:val="auto"/>
          <w:sz w:val="32"/>
          <w:szCs w:val="32"/>
          <w:highlight w:val="none"/>
          <w:lang w:val="en-US" w:eastAsia="zh-CN" w:bidi="ar-SA"/>
        </w:rPr>
        <w:t>A竞价单元：</w:t>
      </w:r>
      <w:r>
        <w:rPr>
          <w:rFonts w:hint="default" w:ascii="Nimbus Roman" w:hAnsi="Nimbus Roman" w:cs="Nimbus Roman"/>
          <w:color w:val="auto"/>
          <w:sz w:val="32"/>
          <w:szCs w:val="32"/>
          <w:highlight w:val="none"/>
          <w:lang w:val="en-US" w:eastAsia="zh-CN" w:bidi="ar-SA"/>
        </w:rPr>
        <w:t>同竞价组内</w:t>
      </w:r>
      <w:r>
        <w:rPr>
          <w:rFonts w:hint="default" w:ascii="Nimbus Roman" w:hAnsi="Nimbus Roman" w:eastAsia="仿宋_GB2312" w:cs="Nimbus Roman"/>
          <w:color w:val="auto"/>
          <w:sz w:val="32"/>
          <w:szCs w:val="32"/>
          <w:highlight w:val="none"/>
          <w:lang w:val="en-US" w:eastAsia="zh-CN" w:bidi="ar-SA"/>
        </w:rPr>
        <w:t>医疗机构采购需求量由多到少依次排序，累计采购需求量前8</w:t>
      </w:r>
      <w:r>
        <w:rPr>
          <w:rFonts w:hint="default" w:ascii="Nimbus Roman" w:hAnsi="Nimbus Roman" w:cs="Nimbus Roman"/>
          <w:color w:val="auto"/>
          <w:sz w:val="32"/>
          <w:szCs w:val="32"/>
          <w:highlight w:val="none"/>
          <w:lang w:val="en-US" w:eastAsia="zh-CN" w:bidi="ar-SA"/>
        </w:rPr>
        <w:t>5</w:t>
      </w:r>
      <w:r>
        <w:rPr>
          <w:rFonts w:hint="default" w:ascii="Nimbus Roman" w:hAnsi="Nimbus Roman" w:eastAsia="仿宋_GB2312" w:cs="Nimbus Roman"/>
          <w:color w:val="auto"/>
          <w:sz w:val="32"/>
          <w:szCs w:val="32"/>
          <w:highlight w:val="none"/>
          <w:lang w:val="en-US" w:eastAsia="zh-CN" w:bidi="ar-SA"/>
        </w:rPr>
        <w:t>%</w:t>
      </w:r>
      <w:r>
        <w:rPr>
          <w:rFonts w:hint="default" w:ascii="Nimbus Roman" w:hAnsi="Nimbus Roman" w:cs="Nimbus Roman"/>
          <w:color w:val="auto"/>
          <w:sz w:val="32"/>
          <w:szCs w:val="32"/>
          <w:highlight w:val="none"/>
          <w:lang w:val="en-US" w:eastAsia="zh-CN" w:bidi="ar-SA"/>
        </w:rPr>
        <w:t>（</w:t>
      </w:r>
      <w:r>
        <w:rPr>
          <w:rFonts w:hint="default" w:ascii="Nimbus Roman" w:hAnsi="Nimbus Roman" w:eastAsia="仿宋_GB2312" w:cs="Nimbus Roman"/>
          <w:color w:val="auto"/>
          <w:sz w:val="32"/>
          <w:szCs w:val="32"/>
          <w:highlight w:val="none"/>
          <w:lang w:val="en-US" w:eastAsia="zh-CN" w:bidi="ar-SA"/>
        </w:rPr>
        <w:t>含</w:t>
      </w:r>
      <w:r>
        <w:rPr>
          <w:rFonts w:hint="default" w:ascii="Nimbus Roman" w:hAnsi="Nimbus Roman" w:cs="Nimbus Roman"/>
          <w:color w:val="auto"/>
          <w:sz w:val="32"/>
          <w:szCs w:val="32"/>
          <w:highlight w:val="none"/>
          <w:lang w:val="en-US" w:eastAsia="zh-CN" w:bidi="ar-SA"/>
        </w:rPr>
        <w:t>）</w:t>
      </w:r>
      <w:r>
        <w:rPr>
          <w:rFonts w:hint="default" w:ascii="Nimbus Roman" w:hAnsi="Nimbus Roman" w:eastAsia="仿宋_GB2312" w:cs="Nimbus Roman"/>
          <w:color w:val="auto"/>
          <w:sz w:val="32"/>
          <w:szCs w:val="32"/>
          <w:highlight w:val="none"/>
          <w:lang w:val="en-US" w:eastAsia="zh-CN" w:bidi="ar-SA"/>
        </w:rPr>
        <w:t>的</w:t>
      </w:r>
      <w:r>
        <w:rPr>
          <w:rFonts w:hint="default" w:ascii="Nimbus Roman" w:hAnsi="Nimbus Roman" w:cs="Nimbus Roman"/>
          <w:color w:val="auto"/>
          <w:sz w:val="32"/>
          <w:szCs w:val="32"/>
          <w:highlight w:val="none"/>
          <w:lang w:val="en-US" w:eastAsia="zh-CN" w:bidi="ar-SA"/>
        </w:rPr>
        <w:t>企业</w:t>
      </w:r>
      <w:r>
        <w:rPr>
          <w:rFonts w:hint="default" w:ascii="Nimbus Roman" w:hAnsi="Nimbus Roman" w:eastAsia="仿宋_GB2312" w:cs="Nimbus Roman"/>
          <w:color w:val="auto"/>
          <w:sz w:val="32"/>
          <w:szCs w:val="32"/>
          <w:highlight w:val="none"/>
          <w:lang w:val="en-US" w:eastAsia="zh-CN" w:bidi="ar-SA"/>
        </w:rPr>
        <w:t>进入A竞价单元</w:t>
      </w:r>
      <w:r>
        <w:rPr>
          <w:rFonts w:hint="default" w:ascii="Nimbus Roman" w:hAnsi="Nimbus Roman" w:cs="Nimbus Roman"/>
          <w:color w:val="auto"/>
          <w:sz w:val="32"/>
          <w:szCs w:val="32"/>
          <w:highlight w:val="none"/>
          <w:lang w:val="en-US" w:eastAsia="zh-CN" w:bidi="ar-SA"/>
        </w:rPr>
        <w:t>。如按照该方法进入A竞价单元企业数量＜3家，则该竞价组内所有企业均进入A竞价单元。</w:t>
      </w:r>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rPr>
          <w:rFonts w:hint="default" w:ascii="Nimbus Roman" w:hAnsi="Nimbus Roman" w:eastAsia="仿宋_GB2312" w:cs="Nimbus Roman"/>
          <w:color w:val="auto"/>
          <w:sz w:val="32"/>
          <w:szCs w:val="32"/>
          <w:highlight w:val="none"/>
          <w:lang w:val="en-US" w:eastAsia="zh-CN" w:bidi="ar-SA"/>
        </w:rPr>
      </w:pPr>
      <w:r>
        <w:rPr>
          <w:rFonts w:hint="default" w:ascii="Nimbus Roman" w:hAnsi="Nimbus Roman" w:eastAsia="仿宋_GB2312" w:cs="Nimbus Roman"/>
          <w:color w:val="auto"/>
          <w:sz w:val="32"/>
          <w:szCs w:val="32"/>
          <w:highlight w:val="none"/>
          <w:lang w:val="en-US" w:eastAsia="zh-CN" w:bidi="ar-SA"/>
        </w:rPr>
        <w:t>B竞价单元：除A竞价单元以外，其他参与本次带量采购报名的企业。</w:t>
      </w:r>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outlineLvl w:val="2"/>
        <w:rPr>
          <w:rFonts w:hint="default" w:ascii="Nimbus Roman" w:hAnsi="Nimbus Roman" w:eastAsia="仿宋_GB2312" w:cs="Nimbus Roman"/>
          <w:color w:val="auto"/>
          <w:sz w:val="32"/>
          <w:szCs w:val="32"/>
          <w:highlight w:val="none"/>
          <w:lang w:val="en-US" w:eastAsia="zh-CN" w:bidi="ar-SA"/>
        </w:rPr>
      </w:pPr>
      <w:bookmarkStart w:id="249" w:name="_Toc18318"/>
      <w:bookmarkStart w:id="250" w:name="_Toc16756"/>
      <w:r>
        <w:rPr>
          <w:rFonts w:hint="default" w:ascii="Nimbus Roman" w:hAnsi="Nimbus Roman" w:cs="Nimbus Roman"/>
          <w:color w:val="auto"/>
          <w:sz w:val="32"/>
          <w:szCs w:val="32"/>
          <w:highlight w:val="none"/>
          <w:lang w:val="en-US" w:eastAsia="zh-CN" w:bidi="ar-SA"/>
        </w:rPr>
        <w:t>2.</w:t>
      </w:r>
      <w:r>
        <w:rPr>
          <w:rFonts w:hint="eastAsia" w:ascii="Nimbus Roman" w:hAnsi="Nimbus Roman" w:cs="Nimbus Roman"/>
          <w:color w:val="auto"/>
          <w:sz w:val="32"/>
          <w:szCs w:val="32"/>
          <w:highlight w:val="none"/>
          <w:lang w:val="en-US" w:eastAsia="zh-CN" w:bidi="ar-SA"/>
        </w:rPr>
        <w:t>3</w:t>
      </w:r>
      <w:r>
        <w:rPr>
          <w:rFonts w:hint="default" w:ascii="Nimbus Roman" w:hAnsi="Nimbus Roman" w:cs="Nimbus Roman"/>
          <w:color w:val="auto"/>
          <w:sz w:val="32"/>
          <w:szCs w:val="32"/>
          <w:highlight w:val="none"/>
          <w:lang w:val="en-US" w:eastAsia="zh-CN" w:bidi="ar-SA"/>
        </w:rPr>
        <w:t>.2.3</w:t>
      </w:r>
      <w:r>
        <w:rPr>
          <w:rFonts w:hint="eastAsia" w:ascii="Nimbus Roman" w:hAnsi="Nimbus Roman" w:cs="Nimbus Roman"/>
          <w:color w:val="auto"/>
          <w:sz w:val="32"/>
          <w:szCs w:val="32"/>
          <w:highlight w:val="none"/>
          <w:lang w:val="en-US" w:eastAsia="zh-CN" w:bidi="ar-SA"/>
        </w:rPr>
        <w:t xml:space="preserve"> </w:t>
      </w:r>
      <w:r>
        <w:rPr>
          <w:rFonts w:hint="default" w:ascii="Nimbus Roman" w:hAnsi="Nimbus Roman" w:eastAsia="仿宋_GB2312" w:cs="Nimbus Roman"/>
          <w:color w:val="auto"/>
          <w:sz w:val="32"/>
          <w:szCs w:val="32"/>
          <w:highlight w:val="none"/>
          <w:lang w:val="en-US" w:eastAsia="zh-CN" w:bidi="ar-SA"/>
        </w:rPr>
        <w:t>各竞价组</w:t>
      </w:r>
      <w:r>
        <w:rPr>
          <w:rFonts w:hint="default" w:ascii="Nimbus Roman" w:hAnsi="Nimbus Roman" w:cs="Nimbus Roman"/>
          <w:color w:val="auto"/>
          <w:sz w:val="32"/>
          <w:szCs w:val="32"/>
          <w:highlight w:val="none"/>
          <w:lang w:val="en-US" w:eastAsia="zh-CN" w:bidi="ar-SA"/>
        </w:rPr>
        <w:t>中</w:t>
      </w:r>
      <w:r>
        <w:rPr>
          <w:rFonts w:hint="default" w:ascii="Nimbus Roman" w:hAnsi="Nimbus Roman" w:eastAsia="仿宋_GB2312" w:cs="Nimbus Roman"/>
          <w:color w:val="auto"/>
          <w:sz w:val="32"/>
          <w:szCs w:val="32"/>
          <w:highlight w:val="none"/>
          <w:lang w:val="en-US" w:eastAsia="zh-CN" w:bidi="ar-SA"/>
        </w:rPr>
        <w:t>A竞价单元</w:t>
      </w:r>
      <w:r>
        <w:rPr>
          <w:rFonts w:hint="default" w:ascii="Nimbus Roman" w:hAnsi="Nimbus Roman" w:cs="Nimbus Roman"/>
          <w:color w:val="auto"/>
          <w:sz w:val="32"/>
          <w:szCs w:val="32"/>
          <w:highlight w:val="none"/>
          <w:lang w:val="en-US" w:eastAsia="zh-CN" w:bidi="ar-SA"/>
        </w:rPr>
        <w:t>企业</w:t>
      </w:r>
      <w:r>
        <w:rPr>
          <w:rFonts w:hint="default" w:ascii="Nimbus Roman" w:hAnsi="Nimbus Roman" w:eastAsia="仿宋_GB2312" w:cs="Nimbus Roman"/>
          <w:color w:val="auto"/>
          <w:sz w:val="32"/>
          <w:szCs w:val="32"/>
          <w:highlight w:val="none"/>
          <w:lang w:val="en-US" w:eastAsia="zh-CN" w:bidi="ar-SA"/>
        </w:rPr>
        <w:t>名单</w:t>
      </w:r>
      <w:r>
        <w:rPr>
          <w:rFonts w:hint="default" w:ascii="Nimbus Roman" w:hAnsi="Nimbus Roman" w:cs="Nimbus Roman"/>
          <w:color w:val="auto"/>
          <w:sz w:val="32"/>
          <w:szCs w:val="32"/>
          <w:highlight w:val="none"/>
          <w:lang w:val="en-US" w:eastAsia="zh-CN" w:bidi="ar-SA"/>
        </w:rPr>
        <w:t>详见附件</w:t>
      </w:r>
      <w:bookmarkEnd w:id="249"/>
      <w:r>
        <w:rPr>
          <w:rFonts w:hint="default" w:ascii="Nimbus Roman" w:hAnsi="Nimbus Roman" w:cs="Nimbus Roman"/>
          <w:color w:val="auto"/>
          <w:sz w:val="32"/>
          <w:szCs w:val="32"/>
          <w:highlight w:val="none"/>
          <w:lang w:val="en-US" w:eastAsia="zh-CN" w:bidi="ar-SA"/>
        </w:rPr>
        <w:t>7</w:t>
      </w:r>
      <w:r>
        <w:rPr>
          <w:rFonts w:hint="default" w:ascii="Nimbus Roman" w:hAnsi="Nimbus Roman" w:eastAsia="仿宋_GB2312" w:cs="Nimbus Roman"/>
          <w:color w:val="auto"/>
          <w:sz w:val="32"/>
          <w:szCs w:val="32"/>
          <w:highlight w:val="none"/>
          <w:lang w:val="en-US" w:eastAsia="zh-CN" w:bidi="ar-SA"/>
        </w:rPr>
        <w:t>。</w:t>
      </w:r>
      <w:bookmarkEnd w:id="250"/>
      <w:bookmarkStart w:id="251" w:name="_Toc5496"/>
      <w:bookmarkStart w:id="252" w:name="_Toc14045"/>
      <w:bookmarkStart w:id="253" w:name="_Toc21037"/>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outlineLvl w:val="2"/>
        <w:rPr>
          <w:rFonts w:hint="default" w:ascii="Nimbus Roman" w:hAnsi="Nimbus Roman" w:eastAsia="黑体" w:cs="Nimbus Roman"/>
          <w:color w:val="auto"/>
          <w:sz w:val="32"/>
          <w:szCs w:val="32"/>
          <w:lang w:val="en-US" w:eastAsia="zh-CN"/>
        </w:rPr>
      </w:pPr>
      <w:r>
        <w:rPr>
          <w:rFonts w:hint="default" w:ascii="Nimbus Roman" w:hAnsi="Nimbus Roman" w:eastAsia="黑体" w:cs="Nimbus Roman"/>
          <w:color w:val="auto"/>
          <w:sz w:val="32"/>
          <w:szCs w:val="32"/>
          <w:lang w:val="en-US" w:eastAsia="zh-CN"/>
        </w:rPr>
        <w:t>2.</w:t>
      </w:r>
      <w:r>
        <w:rPr>
          <w:rFonts w:hint="eastAsia" w:ascii="Nimbus Roman" w:hAnsi="Nimbus Roman" w:eastAsia="黑体" w:cs="Nimbus Roman"/>
          <w:color w:val="auto"/>
          <w:sz w:val="32"/>
          <w:szCs w:val="32"/>
          <w:lang w:val="en-US" w:eastAsia="zh-CN"/>
        </w:rPr>
        <w:t xml:space="preserve">4 </w:t>
      </w:r>
      <w:r>
        <w:rPr>
          <w:rFonts w:hint="default" w:ascii="Nimbus Roman" w:hAnsi="Nimbus Roman" w:eastAsia="黑体" w:cs="Nimbus Roman"/>
          <w:color w:val="auto"/>
          <w:sz w:val="32"/>
          <w:szCs w:val="32"/>
          <w:lang w:val="en-US" w:eastAsia="zh-CN"/>
        </w:rPr>
        <w:t>报价规则</w:t>
      </w:r>
      <w:bookmarkEnd w:id="251"/>
      <w:bookmarkEnd w:id="252"/>
      <w:bookmarkEnd w:id="253"/>
    </w:p>
    <w:p>
      <w:pPr>
        <w:keepNext w:val="0"/>
        <w:keepLines w:val="0"/>
        <w:pageBreakBefore w:val="0"/>
        <w:widowControl/>
        <w:kinsoku/>
        <w:wordWrap/>
        <w:overflowPunct/>
        <w:topLinePunct w:val="0"/>
        <w:bidi w:val="0"/>
        <w:adjustRightInd/>
        <w:spacing w:before="0" w:line="576" w:lineRule="exact"/>
        <w:ind w:firstLine="720" w:firstLineChars="0"/>
        <w:jc w:val="both"/>
        <w:textAlignment w:val="auto"/>
        <w:outlineLvl w:val="2"/>
        <w:rPr>
          <w:rFonts w:hint="default" w:ascii="Nimbus Roman" w:hAnsi="Nimbus Roman" w:eastAsia="仿宋_GB2312" w:cs="Nimbus Roman"/>
          <w:color w:val="auto"/>
          <w:sz w:val="32"/>
          <w:szCs w:val="32"/>
          <w:highlight w:val="none"/>
          <w:lang w:val="en-US" w:eastAsia="zh-CN" w:bidi="ar-SA"/>
        </w:rPr>
      </w:pPr>
      <w:bookmarkStart w:id="254" w:name="_Toc17774"/>
      <w:r>
        <w:rPr>
          <w:rFonts w:hint="default" w:ascii="Nimbus Roman" w:hAnsi="Nimbus Roman" w:eastAsia="仿宋_GB2312" w:cs="Nimbus Roman"/>
          <w:color w:val="auto"/>
          <w:sz w:val="32"/>
          <w:szCs w:val="32"/>
          <w:highlight w:val="none"/>
          <w:lang w:val="en-US" w:eastAsia="zh-CN" w:bidi="ar-SA"/>
        </w:rPr>
        <w:t>2.</w:t>
      </w:r>
      <w:r>
        <w:rPr>
          <w:rFonts w:hint="eastAsia" w:ascii="Nimbus Roman" w:hAnsi="Nimbus Roman" w:eastAsia="仿宋_GB2312" w:cs="Nimbus Roman"/>
          <w:color w:val="auto"/>
          <w:sz w:val="32"/>
          <w:szCs w:val="32"/>
          <w:highlight w:val="none"/>
          <w:lang w:val="en-US" w:eastAsia="zh-CN" w:bidi="ar-SA"/>
        </w:rPr>
        <w:t>4</w:t>
      </w:r>
      <w:r>
        <w:rPr>
          <w:rFonts w:hint="default" w:ascii="Nimbus Roman" w:hAnsi="Nimbus Roman" w:eastAsia="仿宋_GB2312" w:cs="Nimbus Roman"/>
          <w:color w:val="auto"/>
          <w:sz w:val="32"/>
          <w:szCs w:val="32"/>
          <w:highlight w:val="none"/>
          <w:lang w:val="en-US" w:eastAsia="zh-CN" w:bidi="ar-SA"/>
        </w:rPr>
        <w:t>.1</w:t>
      </w:r>
      <w:r>
        <w:rPr>
          <w:rFonts w:hint="eastAsia" w:ascii="Nimbus Roman" w:hAnsi="Nimbus Roman" w:cs="Nimbus Roman"/>
          <w:color w:val="auto"/>
          <w:sz w:val="32"/>
          <w:szCs w:val="32"/>
          <w:highlight w:val="none"/>
          <w:lang w:val="en-US" w:eastAsia="zh-CN" w:bidi="ar-SA"/>
        </w:rPr>
        <w:t xml:space="preserve"> </w:t>
      </w:r>
      <w:r>
        <w:rPr>
          <w:rFonts w:hint="default" w:ascii="Nimbus Roman" w:hAnsi="Nimbus Roman" w:eastAsia="仿宋_GB2312" w:cs="Nimbus Roman"/>
          <w:color w:val="auto"/>
          <w:sz w:val="32"/>
          <w:szCs w:val="32"/>
          <w:highlight w:val="none"/>
          <w:lang w:val="en-US" w:eastAsia="zh-CN" w:bidi="ar-SA"/>
        </w:rPr>
        <w:t>中选产品加成表</w:t>
      </w:r>
      <w:bookmarkEnd w:id="254"/>
    </w:p>
    <w:tbl>
      <w:tblPr>
        <w:tblStyle w:val="15"/>
        <w:tblW w:w="50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56"/>
        <w:gridCol w:w="1275"/>
        <w:gridCol w:w="4838"/>
        <w:gridCol w:w="1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80" w:hRule="atLeast"/>
          <w:tblHeader/>
        </w:trPr>
        <w:tc>
          <w:tcPr>
            <w:tcW w:w="740"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黑体" w:cs="Nimbus Roman"/>
                <w:i w:val="0"/>
                <w:iCs w:val="0"/>
                <w:color w:val="auto"/>
                <w:sz w:val="21"/>
                <w:szCs w:val="21"/>
                <w:u w:val="none"/>
                <w:lang w:val="en-US" w:bidi="ar"/>
              </w:rPr>
            </w:pPr>
            <w:r>
              <w:rPr>
                <w:rFonts w:hint="default" w:ascii="Nimbus Roman" w:hAnsi="Nimbus Roman" w:eastAsia="黑体" w:cs="Nimbus Roman"/>
                <w:i w:val="0"/>
                <w:iCs w:val="0"/>
                <w:color w:val="auto"/>
                <w:kern w:val="0"/>
                <w:sz w:val="21"/>
                <w:szCs w:val="21"/>
                <w:u w:val="none"/>
                <w:lang w:val="en-US" w:eastAsia="zh-CN" w:bidi="ar"/>
              </w:rPr>
              <w:t>产品类别</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黑体" w:cs="Nimbus Roman"/>
                <w:i w:val="0"/>
                <w:iCs w:val="0"/>
                <w:color w:val="auto"/>
                <w:sz w:val="21"/>
                <w:szCs w:val="21"/>
                <w:u w:val="none"/>
                <w:lang w:val="en-US" w:bidi="ar"/>
              </w:rPr>
            </w:pPr>
            <w:r>
              <w:rPr>
                <w:rFonts w:hint="default" w:ascii="Nimbus Roman" w:hAnsi="Nimbus Roman" w:eastAsia="黑体" w:cs="Nimbus Roman"/>
                <w:i w:val="0"/>
                <w:iCs w:val="0"/>
                <w:color w:val="auto"/>
                <w:kern w:val="0"/>
                <w:sz w:val="21"/>
                <w:szCs w:val="21"/>
                <w:u w:val="none"/>
                <w:lang w:val="en-US" w:eastAsia="zh-CN" w:bidi="ar"/>
              </w:rPr>
              <w:t>可使用加成项名称</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黑体" w:cs="Nimbus Roman"/>
                <w:b w:val="0"/>
                <w:bCs w:val="0"/>
                <w:color w:val="auto"/>
                <w:sz w:val="21"/>
                <w:szCs w:val="21"/>
                <w:u w:val="none"/>
                <w:lang w:val="en-US" w:eastAsia="zh-CN" w:bidi="ar"/>
              </w:rPr>
            </w:pPr>
            <w:r>
              <w:rPr>
                <w:rFonts w:hint="default" w:ascii="Nimbus Roman" w:hAnsi="Nimbus Roman" w:eastAsia="黑体" w:cs="Nimbus Roman"/>
                <w:b w:val="0"/>
                <w:bCs w:val="0"/>
                <w:color w:val="auto"/>
                <w:sz w:val="21"/>
                <w:szCs w:val="21"/>
                <w:u w:val="none"/>
                <w:lang w:val="en-US" w:eastAsia="zh-CN" w:bidi="ar"/>
              </w:rPr>
              <w:t>可使用加成说明</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黑体" w:cs="Nimbus Roman"/>
                <w:b w:val="0"/>
                <w:bCs w:val="0"/>
                <w:color w:val="auto"/>
                <w:sz w:val="21"/>
                <w:szCs w:val="21"/>
                <w:u w:val="none"/>
                <w:lang w:val="en-US" w:eastAsia="zh-CN" w:bidi="ar"/>
              </w:rPr>
            </w:pPr>
            <w:r>
              <w:rPr>
                <w:rFonts w:hint="default" w:ascii="Nimbus Roman" w:hAnsi="Nimbus Roman" w:eastAsia="黑体" w:cs="Nimbus Roman"/>
                <w:b w:val="0"/>
                <w:bCs w:val="0"/>
                <w:color w:val="auto"/>
                <w:sz w:val="21"/>
                <w:szCs w:val="21"/>
                <w:u w:val="none"/>
                <w:lang w:val="en-US" w:eastAsia="zh-CN" w:bidi="ar"/>
              </w:rPr>
              <w:t>加成金额</w:t>
            </w:r>
          </w:p>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黑体" w:cs="Nimbus Roman"/>
                <w:b w:val="0"/>
                <w:bCs w:val="0"/>
                <w:color w:val="auto"/>
                <w:sz w:val="21"/>
                <w:szCs w:val="21"/>
                <w:u w:val="none"/>
                <w:lang w:val="en-US" w:eastAsia="zh-CN" w:bidi="ar"/>
              </w:rPr>
            </w:pPr>
            <w:r>
              <w:rPr>
                <w:rFonts w:hint="default" w:ascii="Nimbus Roman" w:hAnsi="Nimbus Roman" w:eastAsia="黑体" w:cs="Nimbus Roman"/>
                <w:b w:val="0"/>
                <w:bCs w:val="0"/>
                <w:color w:val="auto"/>
                <w:sz w:val="21"/>
                <w:szCs w:val="21"/>
                <w:u w:val="none"/>
                <w:lang w:val="en-US" w:eastAsia="zh-CN" w:bidi="ar"/>
              </w:rPr>
              <w:t>（</w:t>
            </w:r>
            <w:r>
              <w:rPr>
                <w:rFonts w:hint="eastAsia" w:ascii="Nimbus Roman" w:hAnsi="Nimbus Roman" w:eastAsia="黑体" w:cs="Nimbus Roman"/>
                <w:b w:val="0"/>
                <w:bCs w:val="0"/>
                <w:color w:val="auto"/>
                <w:sz w:val="21"/>
                <w:szCs w:val="21"/>
                <w:u w:val="none"/>
                <w:lang w:val="en-US" w:eastAsia="zh-CN" w:bidi="ar"/>
              </w:rPr>
              <w:t>人民币，</w:t>
            </w:r>
            <w:r>
              <w:rPr>
                <w:rFonts w:hint="default" w:ascii="Nimbus Roman" w:hAnsi="Nimbus Roman" w:eastAsia="黑体" w:cs="Nimbus Roman"/>
                <w:b w:val="0"/>
                <w:bCs w:val="0"/>
                <w:color w:val="auto"/>
                <w:sz w:val="21"/>
                <w:szCs w:val="21"/>
                <w:u w:val="none"/>
                <w:lang w:val="en-US" w:eastAsia="zh-CN" w:bidi="ar"/>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restar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一次性电子支气管镜/一次性成像导管</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镜头防雾</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指产品镜头通过特殊工艺处理或设计，以具备物理防雾、抗污或耐磨等性能，在20℃~40℃温度范围内使用时，光学零件表面不会出现受温度变化而产生影响观察的雾层。</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高清晰度</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指产品镜头图像传感器所包含的感光单元总数大于64万像素，配合支气管镜成像设备（主机）可实现高清成像。</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特殊成像技术</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指产品利用特定的光学或数字技术，配合主机使用时，具备图像增强、轮廓强调或色彩强调等功能，以增强组织、血管和黏膜结构对比度，为诊断不同的组织病理学形态提供支持。</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防抖动</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指在产品利用曝光控制、算法优化等技术，提升观察过程的图像质量与出具报告的图像质量，在支气管镜前端运动状态下，仍能输出并抓拍清晰的图像。</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气管插管固定结构</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指产品插入部含有气管插管固定结构设计，可在进行气管插管引导时，可将气管导管固定在产品上，且不易脱落。</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含工作孔道（限定竞价组）</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指产品具备可供介入器械进入的工作通道，工作通道最小内径≥1.2mm。限一次性电子支气管镜/一次性成像导管-超细款竞价组使用。</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高频兼容</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指产品可与高频手术设备/附件兼容，在高频手术设备附近工作或待命，仍能保持稳定图像输出。</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restar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气道球囊扩张导管/支气管封堵导管</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PEBAX材质</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指产品可膨胀囊壁材料为PEBAX材质。</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含导丝</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指产品包装内提供配套使用的导丝进行置入操作或产品内预埋导丝。</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支气管封堵导管</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多腔结构</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指导管内部有两条相互独立的工作通道。一腔连接球囊囊体，用于球囊充气/注液；另一腔供注液、注药或灌洗使用，实现封堵与治疗同步进行。</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呼吸介入用活检钳</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定位针</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指活检钳中央含有细针，可在活检操作时固定取样位置，以实现精准取样。</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呼吸介入用细胞刷</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双层鞘管结构</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指细胞刷同时具备内、外双层独立鞘管，刷头包裹在双层鞘管内，可隔绝内镜工作孔道和气道内的污染，以实现精准取样。</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restar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呼吸介入用灌洗管、一次性电子支气管镜/一次性成像导管</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灌洗液收集容器≥2</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指产品配套提供2个及以上的灌洗液收集容器，且灌洗液收集容器总容量不低于50ml。</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含球囊</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指产品前端集成可扩张的球囊，可在产品操作过程中扩张，以实现气道封堵、止血压迫等目的</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支气管封堵导管竞价组的平均中选价格（不含加成）×0.4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restar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气管支气管支架</w:t>
            </w: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异形</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指产品结构为Y型或L型等非直型结构，单次置放可实现主干及分支气道的重建。</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气管支气管支架-非覆膜款异型=气管支气管支架-非覆膜款竞价组的平均中选价格（不含加成）×0.1</w:t>
            </w:r>
          </w:p>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气管支气管支架-覆膜款异型=气管支气管支架-覆膜款竞价组的平均中选价格（不含加成）×0.1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740" w:type="pct"/>
            <w:vMerge w:val="continue"/>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p>
        </w:tc>
        <w:tc>
          <w:tcPr>
            <w:tcW w:w="695"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center"/>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TTS支架</w:t>
            </w:r>
          </w:p>
        </w:tc>
        <w:tc>
          <w:tcPr>
            <w:tcW w:w="2641"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指将支架预装于输送系统中，整体通过支气管镜工作钳道推送至目标位置，并在内镜直视下释放的气道支架。</w:t>
            </w:r>
          </w:p>
        </w:tc>
        <w:tc>
          <w:tcPr>
            <w:tcW w:w="922" w:type="pct"/>
            <w:shd w:val="clear" w:color="auto" w:fill="FFFFFF"/>
            <w:noWrap/>
            <w:vAlign w:val="center"/>
          </w:tcPr>
          <w:p>
            <w:pPr>
              <w:keepNext w:val="0"/>
              <w:keepLines w:val="0"/>
              <w:pageBreakBefore w:val="0"/>
              <w:widowControl/>
              <w:suppressLineNumbers w:val="0"/>
              <w:kinsoku/>
              <w:wordWrap/>
              <w:overflowPunct/>
              <w:topLinePunct w:val="0"/>
              <w:bidi w:val="0"/>
              <w:adjustRightInd/>
              <w:spacing w:line="240" w:lineRule="auto"/>
              <w:jc w:val="left"/>
              <w:textAlignment w:val="center"/>
              <w:rPr>
                <w:rFonts w:hint="default" w:ascii="Nimbus Roman" w:hAnsi="Nimbus Roman" w:eastAsia="方正仿宋_GB2312" w:cs="Nimbus Roman"/>
                <w:i w:val="0"/>
                <w:iCs w:val="0"/>
                <w:color w:val="auto"/>
                <w:kern w:val="0"/>
                <w:sz w:val="21"/>
                <w:szCs w:val="21"/>
                <w:u w:val="none"/>
                <w:lang w:val="en-US" w:eastAsia="zh-CN" w:bidi="ar"/>
              </w:rPr>
            </w:pPr>
            <w:r>
              <w:rPr>
                <w:rFonts w:hint="default" w:ascii="Nimbus Roman" w:hAnsi="Nimbus Roman" w:eastAsia="方正仿宋_GB2312" w:cs="Nimbus Roman"/>
                <w:i w:val="0"/>
                <w:iCs w:val="0"/>
                <w:color w:val="auto"/>
                <w:kern w:val="0"/>
                <w:sz w:val="21"/>
                <w:szCs w:val="21"/>
                <w:u w:val="none"/>
                <w:lang w:val="en-US" w:eastAsia="zh-CN" w:bidi="ar"/>
              </w:rPr>
              <w:t>气管支气管支架-覆膜款竞价组的平均中选价格（不含加成）×0.3</w:t>
            </w:r>
          </w:p>
        </w:tc>
      </w:tr>
    </w:tbl>
    <w:p>
      <w:pPr>
        <w:keepNext w:val="0"/>
        <w:keepLines w:val="0"/>
        <w:pageBreakBefore w:val="0"/>
        <w:widowControl w:val="0"/>
        <w:numPr>
          <w:ilvl w:val="0"/>
          <w:numId w:val="0"/>
        </w:numPr>
        <w:kinsoku/>
        <w:wordWrap/>
        <w:overflowPunct/>
        <w:topLinePunct w:val="0"/>
        <w:bidi w:val="0"/>
        <w:adjustRightInd/>
        <w:snapToGrid/>
        <w:spacing w:before="0" w:line="576" w:lineRule="exact"/>
        <w:ind w:left="0" w:leftChars="0" w:firstLine="560" w:firstLineChars="200"/>
        <w:jc w:val="both"/>
        <w:textAlignment w:val="auto"/>
        <w:outlineLvl w:val="9"/>
        <w:rPr>
          <w:rFonts w:hint="default" w:ascii="Nimbus Roman" w:hAnsi="Nimbus Roman" w:eastAsia="仿宋_GB2312" w:cs="Nimbus Roman"/>
          <w:b w:val="0"/>
          <w:bCs w:val="0"/>
          <w:color w:val="auto"/>
          <w:sz w:val="28"/>
          <w:szCs w:val="28"/>
          <w:lang w:val="en-US" w:eastAsia="zh-CN" w:bidi="zh-CN"/>
        </w:rPr>
      </w:pPr>
      <w:bookmarkStart w:id="255" w:name="_Toc2545"/>
      <w:bookmarkStart w:id="256" w:name="_Toc29131"/>
      <w:r>
        <w:rPr>
          <w:rFonts w:hint="default" w:ascii="Nimbus Roman" w:hAnsi="Nimbus Roman" w:eastAsia="仿宋_GB2312" w:cs="Nimbus Roman"/>
          <w:b w:val="0"/>
          <w:bCs w:val="0"/>
          <w:color w:val="auto"/>
          <w:sz w:val="28"/>
          <w:szCs w:val="28"/>
          <w:lang w:val="en-US" w:eastAsia="zh-CN" w:bidi="zh-CN"/>
        </w:rPr>
        <w:t>说明：</w:t>
      </w:r>
      <w:r>
        <w:rPr>
          <w:rFonts w:hint="default" w:ascii="Nimbus Roman" w:hAnsi="Nimbus Roman" w:cs="Nimbus Roman"/>
          <w:b w:val="0"/>
          <w:bCs w:val="0"/>
          <w:color w:val="auto"/>
          <w:sz w:val="28"/>
          <w:szCs w:val="28"/>
          <w:lang w:val="en-US" w:eastAsia="zh-CN" w:bidi="zh-CN"/>
        </w:rPr>
        <w:t>1.中选产品须符合对应竞价组可使用加成说明内容，方可计算该加成。2.中选企业未申报相关加成的，不论中选产品是否符合加成要求，均不计算该加成。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4</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报价说明</w:t>
      </w:r>
      <w:bookmarkEnd w:id="255"/>
      <w:bookmarkEnd w:id="25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57" w:name="_Toc7420"/>
      <w:bookmarkStart w:id="258" w:name="_Toc14584"/>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各竞价单元按元/</w:t>
      </w:r>
      <w:r>
        <w:rPr>
          <w:rFonts w:hint="default" w:ascii="Nimbus Roman" w:hAnsi="Nimbus Roman" w:cs="Nimbus Roman"/>
          <w:b w:val="0"/>
          <w:bCs w:val="0"/>
          <w:color w:val="auto"/>
          <w:highlight w:val="none"/>
          <w:lang w:val="en-US" w:eastAsia="zh-CN"/>
        </w:rPr>
        <w:t>最小使用单位（个、条、根、件）</w:t>
      </w:r>
      <w:r>
        <w:rPr>
          <w:rFonts w:hint="default" w:ascii="Nimbus Roman" w:hAnsi="Nimbus Roman" w:eastAsia="仿宋_GB2312" w:cs="Nimbus Roman"/>
          <w:b w:val="0"/>
          <w:bCs w:val="0"/>
          <w:color w:val="auto"/>
          <w:highlight w:val="none"/>
          <w:lang w:val="en-US" w:eastAsia="zh-CN"/>
        </w:rPr>
        <w:t>进行报价，精确至小数点后两位。如企业填报价格中选，则</w:t>
      </w:r>
      <w:r>
        <w:rPr>
          <w:rFonts w:hint="default" w:ascii="Nimbus Roman" w:hAnsi="Nimbus Roman" w:cs="Nimbus Roman"/>
          <w:b w:val="0"/>
          <w:bCs w:val="0"/>
          <w:color w:val="auto"/>
          <w:highlight w:val="none"/>
          <w:lang w:val="en-US" w:eastAsia="zh-CN"/>
        </w:rPr>
        <w:t>该中选</w:t>
      </w:r>
      <w:r>
        <w:rPr>
          <w:rFonts w:hint="default" w:ascii="Nimbus Roman" w:hAnsi="Nimbus Roman" w:eastAsia="仿宋_GB2312" w:cs="Nimbus Roman"/>
          <w:b w:val="0"/>
          <w:bCs w:val="0"/>
          <w:color w:val="auto"/>
          <w:highlight w:val="none"/>
          <w:lang w:val="en-US" w:eastAsia="zh-CN"/>
        </w:rPr>
        <w:t>价格为竞价组内产品基准价格，企业各竞价组内</w:t>
      </w:r>
      <w:r>
        <w:rPr>
          <w:rFonts w:hint="default" w:ascii="Nimbus Roman" w:hAnsi="Nimbus Roman" w:cs="Nimbus Roman"/>
          <w:b w:val="0"/>
          <w:bCs w:val="0"/>
          <w:color w:val="auto"/>
          <w:highlight w:val="none"/>
          <w:lang w:val="en-US" w:eastAsia="zh-CN"/>
        </w:rPr>
        <w:t>拟供应</w:t>
      </w:r>
      <w:r>
        <w:rPr>
          <w:rFonts w:hint="default" w:ascii="Nimbus Roman" w:hAnsi="Nimbus Roman" w:eastAsia="仿宋_GB2312" w:cs="Nimbus Roman"/>
          <w:b w:val="0"/>
          <w:bCs w:val="0"/>
          <w:color w:val="auto"/>
          <w:highlight w:val="none"/>
          <w:lang w:val="en-US" w:eastAsia="zh-CN"/>
        </w:rPr>
        <w:t>产品价格=基准价格+加成金额。</w:t>
      </w:r>
      <w:bookmarkEnd w:id="257"/>
      <w:bookmarkEnd w:id="25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59" w:name="_Toc993"/>
      <w:bookmarkStart w:id="260" w:name="_Toc1109"/>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cs="Nimbus Roman"/>
          <w:b w:val="0"/>
          <w:bCs w:val="0"/>
          <w:color w:val="auto"/>
          <w:highlight w:val="none"/>
          <w:lang w:val="en-US" w:eastAsia="zh-CN"/>
        </w:rPr>
        <w:t>.2.2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一个竞价单元内，企业仅允许申报一个价格，如有多个类型的产品，请综合考虑后进行报价。</w:t>
      </w:r>
      <w:bookmarkEnd w:id="259"/>
      <w:bookmarkEnd w:id="26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eastAsia="仿宋_GB2312" w:cs="Nimbus Roman"/>
          <w:b w:val="0"/>
          <w:bCs w:val="0"/>
          <w:color w:val="auto"/>
          <w:highlight w:val="none"/>
          <w:lang w:val="en-US" w:eastAsia="zh-CN"/>
        </w:rPr>
        <w:t>.2.3</w:t>
      </w:r>
      <w:r>
        <w:rPr>
          <w:rFonts w:hint="default" w:ascii="Nimbus Roman" w:hAnsi="Nimbus Roman" w:cs="Nimbus Roman"/>
          <w:b w:val="0"/>
          <w:bCs w:val="0"/>
          <w:color w:val="auto"/>
          <w:highlight w:val="none"/>
          <w:lang w:val="en-US" w:eastAsia="zh-CN"/>
        </w:rPr>
        <w:t xml:space="preserve"> 同一个产品仅允许在一个竞价单元内申报，若同一个产品在不同竞价单元同时参与申报时，则该产品申报均视为无效申报。</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61" w:name="_Toc7140"/>
      <w:bookmarkStart w:id="262" w:name="_Toc24976"/>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cs="Nimbus Roman"/>
          <w:b w:val="0"/>
          <w:bCs w:val="0"/>
          <w:color w:val="auto"/>
          <w:highlight w:val="none"/>
          <w:lang w:val="en-US" w:eastAsia="zh-CN"/>
        </w:rPr>
        <w:t>.2.4</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申报企业在各竞价组内有且仅有一次报价机会，如企业报价未中选且不符合复活规则，则</w:t>
      </w:r>
      <w:r>
        <w:rPr>
          <w:rFonts w:hint="default" w:ascii="Nimbus Roman" w:hAnsi="Nimbus Roman" w:cs="Nimbus Roman"/>
          <w:b w:val="0"/>
          <w:bCs w:val="0"/>
          <w:color w:val="auto"/>
          <w:highlight w:val="none"/>
          <w:lang w:val="en-US" w:eastAsia="zh-CN"/>
        </w:rPr>
        <w:t>不予</w:t>
      </w:r>
      <w:r>
        <w:rPr>
          <w:rFonts w:hint="default" w:ascii="Nimbus Roman" w:hAnsi="Nimbus Roman" w:eastAsia="仿宋_GB2312" w:cs="Nimbus Roman"/>
          <w:b w:val="0"/>
          <w:bCs w:val="0"/>
          <w:color w:val="auto"/>
          <w:highlight w:val="none"/>
          <w:lang w:val="en-US" w:eastAsia="zh-CN"/>
        </w:rPr>
        <w:t>复活</w:t>
      </w:r>
      <w:r>
        <w:rPr>
          <w:rFonts w:hint="default" w:ascii="Nimbus Roman" w:hAnsi="Nimbus Roman" w:cs="Nimbus Roman"/>
          <w:b w:val="0"/>
          <w:bCs w:val="0"/>
          <w:color w:val="auto"/>
          <w:highlight w:val="none"/>
          <w:lang w:val="en-US" w:eastAsia="zh-CN"/>
        </w:rPr>
        <w:t>中选</w:t>
      </w:r>
      <w:r>
        <w:rPr>
          <w:rFonts w:hint="default" w:ascii="Nimbus Roman" w:hAnsi="Nimbus Roman" w:eastAsia="仿宋_GB2312" w:cs="Nimbus Roman"/>
          <w:b w:val="0"/>
          <w:bCs w:val="0"/>
          <w:color w:val="auto"/>
          <w:highlight w:val="none"/>
          <w:lang w:val="en-US" w:eastAsia="zh-CN"/>
        </w:rPr>
        <w:t>。</w:t>
      </w:r>
      <w:bookmarkEnd w:id="261"/>
      <w:bookmarkEnd w:id="26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63" w:name="_Toc8567"/>
      <w:bookmarkStart w:id="264" w:name="_Toc28644"/>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cs="Nimbus Roman"/>
          <w:b w:val="0"/>
          <w:bCs w:val="0"/>
          <w:color w:val="auto"/>
          <w:highlight w:val="none"/>
          <w:lang w:val="en-US" w:eastAsia="zh-CN"/>
        </w:rPr>
        <w:t>.2.5</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如申报企业在某一竞价</w:t>
      </w:r>
      <w:r>
        <w:rPr>
          <w:rFonts w:hint="default" w:ascii="Nimbus Roman" w:hAnsi="Nimbus Roman" w:cs="Nimbus Roman"/>
          <w:b w:val="0"/>
          <w:bCs w:val="0"/>
          <w:color w:val="auto"/>
          <w:highlight w:val="none"/>
          <w:lang w:val="en-US" w:eastAsia="zh-CN"/>
        </w:rPr>
        <w:t>组</w:t>
      </w:r>
      <w:r>
        <w:rPr>
          <w:rFonts w:hint="default" w:ascii="Nimbus Roman" w:hAnsi="Nimbus Roman" w:eastAsia="仿宋_GB2312" w:cs="Nimbus Roman"/>
          <w:b w:val="0"/>
          <w:bCs w:val="0"/>
          <w:color w:val="auto"/>
          <w:highlight w:val="none"/>
          <w:lang w:val="en-US" w:eastAsia="zh-CN"/>
        </w:rPr>
        <w:t>内获得拟中选资格，则该企业该竞价</w:t>
      </w:r>
      <w:r>
        <w:rPr>
          <w:rFonts w:hint="default" w:ascii="Nimbus Roman" w:hAnsi="Nimbus Roman" w:cs="Nimbus Roman"/>
          <w:b w:val="0"/>
          <w:bCs w:val="0"/>
          <w:color w:val="auto"/>
          <w:highlight w:val="none"/>
          <w:lang w:val="en-US" w:eastAsia="zh-CN"/>
        </w:rPr>
        <w:t>组</w:t>
      </w:r>
      <w:r>
        <w:rPr>
          <w:rFonts w:hint="default" w:ascii="Nimbus Roman" w:hAnsi="Nimbus Roman" w:eastAsia="仿宋_GB2312" w:cs="Nimbus Roman"/>
          <w:b w:val="0"/>
          <w:bCs w:val="0"/>
          <w:color w:val="auto"/>
          <w:highlight w:val="none"/>
          <w:lang w:val="en-US" w:eastAsia="zh-CN"/>
        </w:rPr>
        <w:t>内所有产品获得拟中选资格。</w:t>
      </w:r>
      <w:bookmarkEnd w:id="263"/>
      <w:bookmarkEnd w:id="26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65" w:name="_Toc21294"/>
      <w:bookmarkStart w:id="266" w:name="_Toc17523"/>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cs="Nimbus Roman"/>
          <w:b w:val="0"/>
          <w:bCs w:val="0"/>
          <w:color w:val="auto"/>
          <w:highlight w:val="none"/>
          <w:lang w:val="en-US" w:eastAsia="zh-CN"/>
        </w:rPr>
        <w:t>.2.6</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申报企业报价高于最高有效申报价</w:t>
      </w:r>
      <w:r>
        <w:rPr>
          <w:rFonts w:hint="default" w:ascii="Nimbus Roman" w:hAnsi="Nimbus Roman" w:cs="Nimbus Roman"/>
          <w:b w:val="0"/>
          <w:bCs w:val="0"/>
          <w:color w:val="auto"/>
          <w:highlight w:val="none"/>
          <w:lang w:val="en-US" w:eastAsia="zh-CN"/>
        </w:rPr>
        <w:t>或报价为0元</w:t>
      </w:r>
      <w:r>
        <w:rPr>
          <w:rFonts w:hint="default" w:ascii="Nimbus Roman" w:hAnsi="Nimbus Roman" w:eastAsia="仿宋_GB2312" w:cs="Nimbus Roman"/>
          <w:b w:val="0"/>
          <w:bCs w:val="0"/>
          <w:color w:val="auto"/>
          <w:highlight w:val="none"/>
          <w:lang w:val="en-US" w:eastAsia="zh-CN"/>
        </w:rPr>
        <w:t>的，视为无效</w:t>
      </w:r>
      <w:r>
        <w:rPr>
          <w:rFonts w:hint="default" w:ascii="Nimbus Roman" w:hAnsi="Nimbus Roman" w:cs="Nimbus Roman"/>
          <w:b w:val="0"/>
          <w:bCs w:val="0"/>
          <w:color w:val="auto"/>
          <w:highlight w:val="none"/>
          <w:lang w:val="en-US" w:eastAsia="zh-CN"/>
        </w:rPr>
        <w:t>申报</w:t>
      </w:r>
      <w:r>
        <w:rPr>
          <w:rFonts w:hint="default" w:ascii="Nimbus Roman" w:hAnsi="Nimbus Roman" w:eastAsia="仿宋_GB2312" w:cs="Nimbus Roman"/>
          <w:b w:val="0"/>
          <w:bCs w:val="0"/>
          <w:color w:val="auto"/>
          <w:highlight w:val="none"/>
          <w:lang w:val="en-US" w:eastAsia="zh-CN"/>
        </w:rPr>
        <w:t>。</w:t>
      </w:r>
      <w:bookmarkEnd w:id="265"/>
      <w:bookmarkEnd w:id="26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cs="Nimbus Roman"/>
          <w:color w:val="auto"/>
          <w:lang w:val="en-US" w:eastAsia="zh-CN"/>
        </w:rPr>
      </w:pPr>
      <w:bookmarkStart w:id="267" w:name="_Toc10005"/>
      <w:bookmarkStart w:id="268" w:name="_Toc16680"/>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4</w:t>
      </w:r>
      <w:r>
        <w:rPr>
          <w:rFonts w:hint="default" w:ascii="Nimbus Roman" w:hAnsi="Nimbus Roman" w:cs="Nimbus Roman"/>
          <w:b w:val="0"/>
          <w:bCs w:val="0"/>
          <w:color w:val="auto"/>
          <w:highlight w:val="none"/>
          <w:lang w:val="en-US" w:eastAsia="zh-CN"/>
        </w:rPr>
        <w:t>.2.7</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申报企业报价应</w:t>
      </w:r>
      <w:bookmarkEnd w:id="267"/>
      <w:bookmarkEnd w:id="268"/>
      <w:r>
        <w:rPr>
          <w:rFonts w:hint="default" w:ascii="Nimbus Roman" w:hAnsi="Nimbus Roman" w:cs="Nimbus Roman"/>
          <w:b w:val="0"/>
          <w:bCs w:val="0"/>
          <w:color w:val="auto"/>
          <w:sz w:val="32"/>
          <w:szCs w:val="32"/>
          <w:highlight w:val="none"/>
          <w:lang w:val="en-US" w:eastAsia="zh-CN"/>
        </w:rPr>
        <w:t>包含产品价格、配送费用、配套工具配送费用、配套工具使用费用及伴随服务费用（配套工具包括企业自愿提供的成像主机等，伴随服务包括协助组装工具、进行必要的工具使用指导、对医疗机构进行工具操作培训等）。</w:t>
      </w:r>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黑体" w:cs="Nimbus Roman"/>
          <w:b w:val="0"/>
          <w:bCs w:val="0"/>
          <w:color w:val="auto"/>
          <w:highlight w:val="none"/>
          <w:lang w:val="en-US" w:eastAsia="zh-CN"/>
        </w:rPr>
      </w:pPr>
      <w:bookmarkStart w:id="269" w:name="_Toc368"/>
      <w:bookmarkStart w:id="270" w:name="_Toc26173"/>
      <w:bookmarkStart w:id="271" w:name="_Toc21603"/>
      <w:bookmarkStart w:id="272" w:name="_Toc13760"/>
      <w:r>
        <w:rPr>
          <w:rFonts w:hint="default" w:ascii="Nimbus Roman" w:hAnsi="Nimbus Roman" w:eastAsia="黑体" w:cs="Nimbus Roman"/>
          <w:b w:val="0"/>
          <w:bCs w:val="0"/>
          <w:color w:val="auto"/>
          <w:highlight w:val="none"/>
          <w:lang w:val="en-US" w:eastAsia="zh-CN"/>
        </w:rPr>
        <w:t>2.</w:t>
      </w:r>
      <w:r>
        <w:rPr>
          <w:rFonts w:hint="eastAsia" w:ascii="Nimbus Roman" w:hAnsi="Nimbus Roman" w:eastAsia="黑体" w:cs="Nimbus Roman"/>
          <w:b w:val="0"/>
          <w:bCs w:val="0"/>
          <w:color w:val="auto"/>
          <w:highlight w:val="none"/>
          <w:lang w:val="en-US" w:eastAsia="zh-CN"/>
        </w:rPr>
        <w:t xml:space="preserve">5 </w:t>
      </w:r>
      <w:r>
        <w:rPr>
          <w:rFonts w:hint="default" w:ascii="Nimbus Roman" w:hAnsi="Nimbus Roman" w:eastAsia="黑体" w:cs="Nimbus Roman"/>
          <w:b w:val="0"/>
          <w:bCs w:val="0"/>
          <w:color w:val="auto"/>
          <w:highlight w:val="none"/>
          <w:lang w:val="en-US" w:eastAsia="zh-CN"/>
        </w:rPr>
        <w:t>申报信息公开</w:t>
      </w:r>
      <w:bookmarkEnd w:id="269"/>
    </w:p>
    <w:p>
      <w:pPr>
        <w:pStyle w:val="8"/>
        <w:keepNext w:val="0"/>
        <w:keepLines w:val="0"/>
        <w:pageBreakBefore w:val="0"/>
        <w:widowControl w:val="0"/>
        <w:kinsoku/>
        <w:wordWrap/>
        <w:overflowPunct/>
        <w:topLinePunct w:val="0"/>
        <w:autoSpaceDE w:val="0"/>
        <w:autoSpaceDN w:val="0"/>
        <w:bidi w:val="0"/>
        <w:adjustRightInd/>
        <w:snapToGrid/>
        <w:spacing w:before="0" w:line="576" w:lineRule="exact"/>
        <w:ind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rPr>
      </w:pPr>
      <w:bookmarkStart w:id="273" w:name="_Toc3313"/>
      <w:bookmarkStart w:id="274" w:name="_Toc16903"/>
      <w:r>
        <w:rPr>
          <w:rFonts w:hint="default" w:ascii="Nimbus Roman" w:hAnsi="Nimbus Roman" w:eastAsia="仿宋_GB2312" w:cs="Nimbus Roman"/>
          <w:b w:val="0"/>
          <w:bCs w:val="0"/>
          <w:color w:val="auto"/>
          <w:sz w:val="32"/>
          <w:szCs w:val="32"/>
          <w:highlight w:val="none"/>
          <w:lang w:val="en-US" w:eastAsia="zh-CN"/>
        </w:rPr>
        <w:t>申报信息公开时邀请所有申报企业、有关部门和公证机构参加，对申报信息公开的全过程进行监督。</w:t>
      </w:r>
      <w:bookmarkEnd w:id="273"/>
      <w:bookmarkEnd w:id="274"/>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rPr>
          <w:rFonts w:hint="default" w:ascii="Nimbus Roman" w:hAnsi="Nimbus Roman" w:eastAsia="黑体" w:cs="Nimbus Roman"/>
          <w:b w:val="0"/>
          <w:bCs w:val="0"/>
          <w:color w:val="auto"/>
          <w:highlight w:val="none"/>
          <w:lang w:val="en-US" w:eastAsia="zh-CN"/>
        </w:rPr>
      </w:pPr>
      <w:bookmarkStart w:id="275" w:name="_Toc19965"/>
      <w:r>
        <w:rPr>
          <w:rFonts w:hint="default" w:ascii="Nimbus Roman" w:hAnsi="Nimbus Roman" w:cs="Nimbus Roman"/>
          <w:b w:val="0"/>
          <w:bCs w:val="0"/>
          <w:color w:val="auto"/>
          <w:sz w:val="32"/>
          <w:szCs w:val="32"/>
          <w:lang w:val="en-US" w:eastAsia="zh-CN" w:bidi="zh-CN"/>
        </w:rPr>
        <w:t>2.</w:t>
      </w:r>
      <w:r>
        <w:rPr>
          <w:rFonts w:hint="eastAsia" w:ascii="Nimbus Roman" w:hAnsi="Nimbus Roman" w:cs="Nimbus Roman"/>
          <w:b w:val="0"/>
          <w:bCs w:val="0"/>
          <w:color w:val="auto"/>
          <w:sz w:val="32"/>
          <w:szCs w:val="32"/>
          <w:lang w:val="en-US" w:eastAsia="zh-CN" w:bidi="zh-CN"/>
        </w:rPr>
        <w:t xml:space="preserve">6 </w:t>
      </w:r>
      <w:r>
        <w:rPr>
          <w:rFonts w:hint="default" w:ascii="Nimbus Roman" w:hAnsi="Nimbus Roman" w:eastAsia="黑体" w:cs="Nimbus Roman"/>
          <w:b w:val="0"/>
          <w:bCs w:val="0"/>
          <w:color w:val="auto"/>
          <w:sz w:val="32"/>
          <w:szCs w:val="32"/>
          <w:lang w:val="en-US" w:eastAsia="zh-CN" w:bidi="zh-CN"/>
        </w:rPr>
        <w:t>拟</w:t>
      </w:r>
      <w:r>
        <w:rPr>
          <w:rFonts w:hint="default" w:ascii="Nimbus Roman" w:hAnsi="Nimbus Roman" w:eastAsia="黑体" w:cs="Nimbus Roman"/>
          <w:b w:val="0"/>
          <w:bCs w:val="0"/>
          <w:color w:val="auto"/>
          <w:highlight w:val="none"/>
          <w:lang w:val="en-US" w:eastAsia="zh-CN"/>
        </w:rPr>
        <w:t>中选资格确定</w:t>
      </w:r>
      <w:bookmarkEnd w:id="270"/>
      <w:bookmarkEnd w:id="271"/>
      <w:bookmarkEnd w:id="272"/>
      <w:bookmarkEnd w:id="27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2"/>
        <w:rPr>
          <w:rFonts w:hint="default" w:ascii="Nimbus Roman" w:hAnsi="Nimbus Roman" w:cs="Nimbus Roman"/>
          <w:b w:val="0"/>
          <w:bCs w:val="0"/>
          <w:color w:val="auto"/>
          <w:sz w:val="32"/>
          <w:szCs w:val="32"/>
          <w:highlight w:val="none"/>
          <w:lang w:val="en-US" w:eastAsia="zh-CN"/>
        </w:rPr>
      </w:pPr>
      <w:bookmarkStart w:id="276" w:name="_Toc31946"/>
      <w:bookmarkStart w:id="277" w:name="_Toc19164"/>
      <w:r>
        <w:rPr>
          <w:rFonts w:hint="default" w:ascii="Nimbus Roman" w:hAnsi="Nimbus Roman" w:cs="Nimbus Roman"/>
          <w:b w:val="0"/>
          <w:bCs w:val="0"/>
          <w:color w:val="auto"/>
          <w:sz w:val="32"/>
          <w:szCs w:val="32"/>
          <w:highlight w:val="none"/>
          <w:lang w:val="en-US" w:eastAsia="zh-CN"/>
        </w:rPr>
        <w:t>2.</w:t>
      </w:r>
      <w:r>
        <w:rPr>
          <w:rFonts w:hint="eastAsia" w:ascii="Nimbus Roman" w:hAnsi="Nimbus Roman" w:cs="Nimbus Roman"/>
          <w:b w:val="0"/>
          <w:bCs w:val="0"/>
          <w:color w:val="auto"/>
          <w:sz w:val="32"/>
          <w:szCs w:val="32"/>
          <w:highlight w:val="none"/>
          <w:lang w:val="en-US" w:eastAsia="zh-CN"/>
        </w:rPr>
        <w:t>6</w:t>
      </w:r>
      <w:r>
        <w:rPr>
          <w:rFonts w:hint="default" w:ascii="Nimbus Roman" w:hAnsi="Nimbus Roman" w:cs="Nimbus Roman"/>
          <w:b w:val="0"/>
          <w:bCs w:val="0"/>
          <w:color w:val="auto"/>
          <w:sz w:val="32"/>
          <w:szCs w:val="32"/>
          <w:highlight w:val="none"/>
          <w:lang w:val="en-US" w:eastAsia="zh-CN"/>
        </w:rPr>
        <w:t>.1</w:t>
      </w:r>
      <w:r>
        <w:rPr>
          <w:rFonts w:hint="eastAsia" w:ascii="Nimbus Roman" w:hAnsi="Nimbus Roman" w:cs="Nimbus Roman"/>
          <w:b w:val="0"/>
          <w:bCs w:val="0"/>
          <w:color w:val="auto"/>
          <w:sz w:val="32"/>
          <w:szCs w:val="32"/>
          <w:highlight w:val="none"/>
          <w:lang w:val="en-US" w:eastAsia="zh-CN"/>
        </w:rPr>
        <w:t xml:space="preserve"> </w:t>
      </w:r>
      <w:r>
        <w:rPr>
          <w:rFonts w:hint="default" w:ascii="Nimbus Roman" w:hAnsi="Nimbus Roman" w:cs="Nimbus Roman"/>
          <w:b w:val="0"/>
          <w:bCs w:val="0"/>
          <w:color w:val="auto"/>
          <w:sz w:val="32"/>
          <w:szCs w:val="32"/>
          <w:highlight w:val="none"/>
          <w:lang w:val="en-US" w:eastAsia="zh-CN"/>
        </w:rPr>
        <w:t>中选规则</w:t>
      </w:r>
      <w:bookmarkEnd w:id="276"/>
      <w:bookmarkEnd w:id="27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78" w:name="_Toc107"/>
      <w:bookmarkStart w:id="279" w:name="_Toc5161"/>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6</w:t>
      </w:r>
      <w:r>
        <w:rPr>
          <w:rFonts w:hint="default" w:ascii="Nimbus Roman" w:hAnsi="Nimbus Roman" w:eastAsia="仿宋_GB2312" w:cs="Nimbus Roman"/>
          <w:b w:val="0"/>
          <w:bCs w:val="0"/>
          <w:color w:val="auto"/>
          <w:highlight w:val="none"/>
          <w:lang w:val="en-US" w:eastAsia="zh-CN"/>
        </w:rPr>
        <w:t>.1.1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同一竞价单元内，依据申报企业报价由低到高进行排名</w:t>
      </w:r>
      <w:r>
        <w:rPr>
          <w:rFonts w:hint="default" w:ascii="Nimbus Roman" w:hAnsi="Nimbus Roman" w:cs="Nimbus Roman"/>
          <w:b w:val="0"/>
          <w:bCs w:val="0"/>
          <w:color w:val="auto"/>
          <w:highlight w:val="none"/>
          <w:lang w:val="en-US" w:eastAsia="zh-CN"/>
        </w:rPr>
        <w:t>，</w:t>
      </w:r>
      <w:r>
        <w:rPr>
          <w:rFonts w:hint="default" w:ascii="Nimbus Roman" w:hAnsi="Nimbus Roman" w:eastAsia="仿宋_GB2312" w:cs="Nimbus Roman"/>
          <w:b w:val="0"/>
          <w:bCs w:val="0"/>
          <w:color w:val="auto"/>
          <w:highlight w:val="none"/>
          <w:lang w:val="en-US" w:eastAsia="zh-CN"/>
        </w:rPr>
        <w:t>按照拟中选企业取数表确定拟中选企业。</w:t>
      </w:r>
      <w:bookmarkEnd w:id="278"/>
      <w:bookmarkEnd w:id="279"/>
    </w:p>
    <w:p>
      <w:pPr>
        <w:keepNext w:val="0"/>
        <w:keepLines w:val="0"/>
        <w:pageBreakBefore w:val="0"/>
        <w:widowControl/>
        <w:suppressLineNumbers w:val="0"/>
        <w:kinsoku/>
        <w:wordWrap/>
        <w:overflowPunct/>
        <w:topLinePunct w:val="0"/>
        <w:autoSpaceDE w:val="0"/>
        <w:autoSpaceDN w:val="0"/>
        <w:bidi w:val="0"/>
        <w:adjustRightInd/>
        <w:snapToGrid/>
        <w:spacing w:line="576" w:lineRule="exact"/>
        <w:jc w:val="center"/>
        <w:textAlignment w:val="center"/>
        <w:rPr>
          <w:rFonts w:hint="default" w:ascii="Nimbus Roman" w:hAnsi="Nimbus Roman" w:eastAsia="黑体" w:cs="Nimbus Roman"/>
          <w:b w:val="0"/>
          <w:bCs/>
          <w:i w:val="0"/>
          <w:iCs w:val="0"/>
          <w:color w:val="auto"/>
          <w:kern w:val="0"/>
          <w:sz w:val="21"/>
          <w:szCs w:val="21"/>
          <w:u w:val="none"/>
          <w:lang w:val="en-US" w:eastAsia="zh-CN" w:bidi="ar"/>
        </w:rPr>
      </w:pPr>
      <w:r>
        <w:rPr>
          <w:rFonts w:hint="default" w:ascii="Nimbus Roman" w:hAnsi="Nimbus Roman" w:eastAsia="黑体" w:cs="Nimbus Roman"/>
          <w:b w:val="0"/>
          <w:bCs/>
          <w:i w:val="0"/>
          <w:iCs w:val="0"/>
          <w:color w:val="auto"/>
          <w:kern w:val="0"/>
          <w:sz w:val="21"/>
          <w:szCs w:val="21"/>
          <w:u w:val="none"/>
          <w:lang w:val="en-US" w:eastAsia="zh-CN" w:bidi="ar"/>
        </w:rPr>
        <w:t>拟中选企业取数表</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7"/>
        <w:gridCol w:w="2788"/>
        <w:gridCol w:w="1586"/>
        <w:gridCol w:w="3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黑体" w:cs="Nimbus Roman"/>
                <w:b w:val="0"/>
                <w:bCs/>
                <w:i w:val="0"/>
                <w:iCs w:val="0"/>
                <w:color w:val="auto"/>
                <w:kern w:val="0"/>
                <w:sz w:val="21"/>
                <w:szCs w:val="21"/>
                <w:u w:val="none"/>
                <w:lang w:val="en-US" w:eastAsia="zh-CN" w:bidi="ar"/>
              </w:rPr>
            </w:pPr>
            <w:r>
              <w:rPr>
                <w:rFonts w:hint="default" w:ascii="Nimbus Roman" w:hAnsi="Nimbus Roman" w:eastAsia="黑体" w:cs="Nimbus Roman"/>
                <w:b w:val="0"/>
                <w:bCs/>
                <w:i w:val="0"/>
                <w:iCs w:val="0"/>
                <w:color w:val="auto"/>
                <w:kern w:val="0"/>
                <w:sz w:val="21"/>
                <w:szCs w:val="21"/>
                <w:u w:val="none"/>
                <w:lang w:val="en-US" w:eastAsia="zh-CN" w:bidi="ar"/>
              </w:rPr>
              <w:t>有效申报企业数（家）</w:t>
            </w:r>
          </w:p>
        </w:tc>
        <w:tc>
          <w:tcPr>
            <w:tcW w:w="15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黑体" w:cs="Nimbus Roman"/>
                <w:b w:val="0"/>
                <w:bCs/>
                <w:i w:val="0"/>
                <w:iCs w:val="0"/>
                <w:color w:val="auto"/>
                <w:kern w:val="0"/>
                <w:sz w:val="21"/>
                <w:szCs w:val="21"/>
                <w:u w:val="none"/>
                <w:lang w:val="en-US" w:eastAsia="zh-CN" w:bidi="ar"/>
              </w:rPr>
            </w:pPr>
            <w:r>
              <w:rPr>
                <w:rFonts w:hint="default" w:ascii="Nimbus Roman" w:hAnsi="Nimbus Roman" w:eastAsia="黑体" w:cs="Nimbus Roman"/>
                <w:b w:val="0"/>
                <w:bCs/>
                <w:i w:val="0"/>
                <w:iCs w:val="0"/>
                <w:color w:val="auto"/>
                <w:kern w:val="0"/>
                <w:sz w:val="21"/>
                <w:szCs w:val="21"/>
                <w:u w:val="none"/>
                <w:lang w:val="en-US" w:eastAsia="zh-CN" w:bidi="ar"/>
              </w:rPr>
              <w:t>最多拟中选企业数额（家）</w:t>
            </w:r>
          </w:p>
        </w:tc>
        <w:tc>
          <w:tcPr>
            <w:tcW w:w="8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黑体" w:cs="Nimbus Roman"/>
                <w:b w:val="0"/>
                <w:bCs/>
                <w:i w:val="0"/>
                <w:iCs w:val="0"/>
                <w:color w:val="auto"/>
                <w:kern w:val="0"/>
                <w:sz w:val="21"/>
                <w:szCs w:val="21"/>
                <w:u w:val="none"/>
                <w:lang w:val="en-US" w:eastAsia="zh-CN" w:bidi="ar"/>
              </w:rPr>
            </w:pPr>
            <w:r>
              <w:rPr>
                <w:rFonts w:hint="default" w:ascii="Nimbus Roman" w:hAnsi="Nimbus Roman" w:eastAsia="黑体" w:cs="Nimbus Roman"/>
                <w:b w:val="0"/>
                <w:bCs/>
                <w:i w:val="0"/>
                <w:iCs w:val="0"/>
                <w:color w:val="auto"/>
                <w:kern w:val="0"/>
                <w:sz w:val="21"/>
                <w:szCs w:val="21"/>
                <w:u w:val="none"/>
                <w:lang w:val="en-US" w:eastAsia="zh-CN" w:bidi="ar"/>
              </w:rPr>
              <w:t>有效申报企业数（家）</w:t>
            </w:r>
          </w:p>
        </w:tc>
        <w:tc>
          <w:tcPr>
            <w:tcW w:w="1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黑体" w:cs="Nimbus Roman"/>
                <w:b w:val="0"/>
                <w:bCs/>
                <w:i w:val="0"/>
                <w:iCs w:val="0"/>
                <w:color w:val="auto"/>
                <w:kern w:val="0"/>
                <w:sz w:val="21"/>
                <w:szCs w:val="21"/>
                <w:u w:val="none"/>
                <w:lang w:val="en-US" w:eastAsia="zh-CN" w:bidi="ar"/>
              </w:rPr>
            </w:pPr>
            <w:r>
              <w:rPr>
                <w:rFonts w:hint="default" w:ascii="Nimbus Roman" w:hAnsi="Nimbus Roman" w:eastAsia="黑体" w:cs="Nimbus Roman"/>
                <w:b w:val="0"/>
                <w:bCs/>
                <w:i w:val="0"/>
                <w:iCs w:val="0"/>
                <w:color w:val="auto"/>
                <w:kern w:val="0"/>
                <w:sz w:val="21"/>
                <w:szCs w:val="21"/>
                <w:u w:val="none"/>
                <w:lang w:val="en-US" w:eastAsia="zh-CN" w:bidi="ar"/>
              </w:rPr>
              <w:t>最多拟中选企业数额（家）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lang w:val="en-US"/>
              </w:rPr>
            </w:pPr>
            <w:r>
              <w:rPr>
                <w:rFonts w:hint="default" w:ascii="Nimbus Roman" w:hAnsi="Nimbus Roman" w:eastAsia="仿宋_GB2312" w:cs="Nimbus Roman"/>
                <w:i w:val="0"/>
                <w:iCs w:val="0"/>
                <w:color w:val="auto"/>
                <w:kern w:val="0"/>
                <w:sz w:val="24"/>
                <w:szCs w:val="24"/>
                <w:u w:val="none"/>
                <w:lang w:val="en-US" w:eastAsia="zh-CN" w:bidi="ar-SA"/>
              </w:rPr>
              <w:t>企业报价低于</w:t>
            </w:r>
            <w:r>
              <w:rPr>
                <w:rFonts w:hint="default" w:ascii="Nimbus Roman" w:hAnsi="Nimbus Roman" w:eastAsia="仿宋_GB2312" w:cs="Nimbus Roman"/>
                <w:b w:val="0"/>
                <w:bCs w:val="0"/>
                <w:color w:val="auto"/>
                <w:sz w:val="24"/>
                <w:szCs w:val="24"/>
                <w:highlight w:val="none"/>
                <w:u w:val="none"/>
                <w:lang w:val="en-US" w:eastAsia="zh-CN" w:bidi="ar-SA"/>
              </w:rPr>
              <w:t>最高有效申报价</w:t>
            </w:r>
            <w:r>
              <w:rPr>
                <w:rFonts w:hint="default" w:ascii="Nimbus Roman" w:hAnsi="Nimbus Roman" w:cs="Nimbus Roman"/>
                <w:b w:val="0"/>
                <w:bCs w:val="0"/>
                <w:color w:val="auto"/>
                <w:sz w:val="24"/>
                <w:szCs w:val="24"/>
                <w:u w:val="none"/>
                <w:lang w:val="en-US" w:eastAsia="zh-CN" w:bidi="ar-SA"/>
              </w:rPr>
              <w:t>5</w:t>
            </w:r>
            <w:r>
              <w:rPr>
                <w:rFonts w:hint="default" w:ascii="Nimbus Roman" w:hAnsi="Nimbus Roman" w:eastAsia="仿宋_GB2312" w:cs="Nimbus Roman"/>
                <w:b w:val="0"/>
                <w:bCs w:val="0"/>
                <w:color w:val="auto"/>
                <w:sz w:val="24"/>
                <w:szCs w:val="24"/>
                <w:u w:val="none"/>
                <w:lang w:val="en-US" w:eastAsia="zh-CN" w:bidi="ar-SA"/>
              </w:rPr>
              <w:t>0%，获得拟中选资格</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16</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17</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3</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18</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4</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3</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19</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5</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4</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20</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6</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4</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21</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7</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5</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22</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8</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6</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23</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9</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6</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24</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10</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7</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25</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11</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26</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12</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8</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27</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13</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9</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28</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14</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10</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29</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15</w:t>
            </w:r>
          </w:p>
        </w:tc>
        <w:tc>
          <w:tcPr>
            <w:tcW w:w="15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11</w:t>
            </w:r>
          </w:p>
        </w:tc>
        <w:tc>
          <w:tcPr>
            <w:tcW w:w="8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rPr>
            </w:pPr>
            <w:r>
              <w:rPr>
                <w:rFonts w:hint="default" w:ascii="Nimbus Roman" w:hAnsi="Nimbus Roman" w:eastAsia="仿宋_GB2312" w:cs="Nimbus Roman"/>
                <w:i w:val="0"/>
                <w:iCs w:val="0"/>
                <w:color w:val="auto"/>
                <w:kern w:val="0"/>
                <w:sz w:val="24"/>
                <w:szCs w:val="24"/>
                <w:u w:val="none"/>
                <w:lang w:val="en-US" w:eastAsia="zh-CN" w:bidi="ar"/>
              </w:rPr>
              <w:t>≥30</w:t>
            </w:r>
          </w:p>
        </w:tc>
        <w:tc>
          <w:tcPr>
            <w:tcW w:w="17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spacing w:line="240" w:lineRule="auto"/>
              <w:jc w:val="center"/>
              <w:textAlignment w:val="center"/>
              <w:rPr>
                <w:rFonts w:hint="default" w:ascii="Nimbus Roman" w:hAnsi="Nimbus Roman" w:eastAsia="仿宋_GB2312" w:cs="Nimbus Roman"/>
                <w:i w:val="0"/>
                <w:iCs w:val="0"/>
                <w:color w:val="auto"/>
                <w:sz w:val="24"/>
                <w:szCs w:val="24"/>
                <w:u w:val="none"/>
                <w:lang w:val="en-US" w:eastAsia="zh-CN"/>
              </w:rPr>
            </w:pPr>
            <w:r>
              <w:rPr>
                <w:rFonts w:hint="default" w:ascii="Nimbus Roman" w:hAnsi="Nimbus Roman" w:cs="Nimbus Roman"/>
                <w:i w:val="0"/>
                <w:iCs w:val="0"/>
                <w:color w:val="auto"/>
                <w:sz w:val="24"/>
                <w:szCs w:val="24"/>
                <w:u w:val="none"/>
                <w:lang w:val="en-US" w:eastAsia="zh-CN"/>
              </w:rPr>
              <w:t>拟中选企业家数按</w:t>
            </w:r>
            <w:r>
              <w:rPr>
                <w:rFonts w:hint="default" w:ascii="Nimbus Roman" w:hAnsi="Nimbus Roman" w:eastAsia="仿宋_GB2312" w:cs="Nimbus Roman"/>
                <w:i w:val="0"/>
                <w:iCs w:val="0"/>
                <w:color w:val="auto"/>
                <w:sz w:val="24"/>
                <w:szCs w:val="24"/>
                <w:u w:val="none"/>
                <w:lang w:val="en-US" w:eastAsia="zh-CN"/>
              </w:rPr>
              <w:t>申报价格由低到高排序取前70%，四舍五入取整</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80" w:name="_Toc21468"/>
      <w:bookmarkStart w:id="281" w:name="_Toc20987"/>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6</w:t>
      </w:r>
      <w:r>
        <w:rPr>
          <w:rFonts w:hint="default" w:ascii="Nimbus Roman" w:hAnsi="Nimbus Roman" w:eastAsia="仿宋_GB2312" w:cs="Nimbus Roman"/>
          <w:b w:val="0"/>
          <w:bCs w:val="0"/>
          <w:color w:val="auto"/>
          <w:highlight w:val="none"/>
          <w:lang w:val="en-US" w:eastAsia="zh-CN"/>
        </w:rPr>
        <w:t>.1.2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当出现不同企业报价相同的情况</w:t>
      </w:r>
      <w:r>
        <w:rPr>
          <w:rFonts w:hint="default" w:ascii="Nimbus Roman" w:hAnsi="Nimbus Roman" w:cs="Nimbus Roman"/>
          <w:b w:val="0"/>
          <w:bCs w:val="0"/>
          <w:color w:val="auto"/>
          <w:highlight w:val="none"/>
          <w:lang w:val="en-US" w:eastAsia="zh-CN"/>
        </w:rPr>
        <w:t>时</w:t>
      </w:r>
      <w:r>
        <w:rPr>
          <w:rFonts w:hint="default" w:ascii="Nimbus Roman" w:hAnsi="Nimbus Roman" w:eastAsia="仿宋_GB2312" w:cs="Nimbus Roman"/>
          <w:b w:val="0"/>
          <w:bCs w:val="0"/>
          <w:color w:val="auto"/>
          <w:highlight w:val="none"/>
          <w:lang w:val="en-US" w:eastAsia="zh-CN"/>
        </w:rPr>
        <w:t>，按照以下规则依次确定排名</w:t>
      </w:r>
      <w:r>
        <w:rPr>
          <w:rFonts w:hint="default" w:ascii="Nimbus Roman" w:hAnsi="Nimbus Roman" w:cs="Nimbus Roman"/>
          <w:b w:val="0"/>
          <w:bCs w:val="0"/>
          <w:color w:val="auto"/>
          <w:highlight w:val="none"/>
          <w:lang w:val="en-US" w:eastAsia="zh-CN"/>
        </w:rPr>
        <w:t>，规则优先级（1）＞（2）＞（3）＞（4）</w:t>
      </w:r>
      <w:r>
        <w:rPr>
          <w:rFonts w:hint="default" w:ascii="Nimbus Roman" w:hAnsi="Nimbus Roman" w:eastAsia="仿宋_GB2312" w:cs="Nimbus Roman"/>
          <w:b w:val="0"/>
          <w:bCs w:val="0"/>
          <w:color w:val="auto"/>
          <w:highlight w:val="none"/>
          <w:lang w:val="en-US" w:eastAsia="zh-CN"/>
        </w:rPr>
        <w:t>：</w:t>
      </w:r>
      <w:bookmarkEnd w:id="280"/>
      <w:bookmarkEnd w:id="281"/>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82" w:name="_Toc32520"/>
      <w:bookmarkStart w:id="283" w:name="_Toc32505"/>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）同一竞价单元内，若存在已中选的关联企业，则该企业的排名确定为同价格企业中的最后一位。</w:t>
      </w:r>
      <w:bookmarkEnd w:id="282"/>
      <w:bookmarkEnd w:id="28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84" w:name="_Toc26948"/>
      <w:bookmarkStart w:id="285" w:name="_Toc3074"/>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2</w:t>
      </w:r>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在联盟地区内存在需求省份数量多的企业优先</w:t>
      </w:r>
      <w:r>
        <w:rPr>
          <w:rFonts w:hint="default" w:ascii="Nimbus Roman" w:hAnsi="Nimbus Roman" w:eastAsia="仿宋_GB2312" w:cs="Nimbus Roman"/>
          <w:b w:val="0"/>
          <w:bCs w:val="0"/>
          <w:color w:val="auto"/>
          <w:highlight w:val="none"/>
          <w:lang w:val="en-US" w:eastAsia="zh-CN"/>
        </w:rPr>
        <w:t>（以联盟地区</w:t>
      </w:r>
      <w:r>
        <w:rPr>
          <w:rFonts w:hint="default" w:ascii="Nimbus Roman" w:hAnsi="Nimbus Roman" w:cs="Nimbus Roman"/>
          <w:b w:val="0"/>
          <w:bCs w:val="0"/>
          <w:color w:val="auto"/>
          <w:highlight w:val="none"/>
          <w:lang w:val="en-US" w:eastAsia="zh-CN"/>
        </w:rPr>
        <w:t>医疗机构</w:t>
      </w:r>
      <w:r>
        <w:rPr>
          <w:rFonts w:hint="default" w:ascii="Nimbus Roman" w:hAnsi="Nimbus Roman" w:eastAsia="仿宋_GB2312" w:cs="Nimbus Roman"/>
          <w:b w:val="0"/>
          <w:bCs w:val="0"/>
          <w:color w:val="auto"/>
          <w:highlight w:val="none"/>
          <w:lang w:val="en-US" w:eastAsia="zh-CN"/>
        </w:rPr>
        <w:t>填报</w:t>
      </w:r>
      <w:r>
        <w:rPr>
          <w:rFonts w:hint="default" w:ascii="Nimbus Roman" w:hAnsi="Nimbus Roman" w:cs="Nimbus Roman"/>
          <w:b w:val="0"/>
          <w:bCs w:val="0"/>
          <w:color w:val="auto"/>
          <w:highlight w:val="none"/>
          <w:lang w:val="en-US" w:eastAsia="zh-CN"/>
        </w:rPr>
        <w:t>需求量</w:t>
      </w:r>
      <w:r>
        <w:rPr>
          <w:rFonts w:hint="default" w:ascii="Nimbus Roman" w:hAnsi="Nimbus Roman" w:eastAsia="仿宋_GB2312" w:cs="Nimbus Roman"/>
          <w:b w:val="0"/>
          <w:bCs w:val="0"/>
          <w:color w:val="auto"/>
          <w:highlight w:val="none"/>
          <w:lang w:val="en-US" w:eastAsia="zh-CN"/>
        </w:rPr>
        <w:t>数据为准）；</w:t>
      </w:r>
      <w:bookmarkEnd w:id="284"/>
      <w:bookmarkEnd w:id="28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highlight w:val="none"/>
          <w:lang w:val="en-US" w:eastAsia="zh-CN"/>
        </w:rPr>
      </w:pPr>
      <w:bookmarkStart w:id="286" w:name="_Toc10137"/>
      <w:bookmarkStart w:id="287" w:name="_Toc32184"/>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3</w:t>
      </w:r>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在联盟地区内医疗机构需求量大的企业优先</w:t>
      </w:r>
      <w:r>
        <w:rPr>
          <w:rFonts w:hint="default" w:ascii="Nimbus Roman" w:hAnsi="Nimbus Roman" w:eastAsia="仿宋_GB2312" w:cs="Nimbus Roman"/>
          <w:b w:val="0"/>
          <w:bCs w:val="0"/>
          <w:color w:val="auto"/>
          <w:highlight w:val="none"/>
          <w:lang w:val="en-US" w:eastAsia="zh-CN"/>
        </w:rPr>
        <w:t>（以联盟地区填报数据为准）</w:t>
      </w:r>
      <w:r>
        <w:rPr>
          <w:rFonts w:hint="default" w:ascii="Nimbus Roman" w:hAnsi="Nimbus Roman" w:cs="Nimbus Roman"/>
          <w:b w:val="0"/>
          <w:bCs w:val="0"/>
          <w:color w:val="auto"/>
          <w:highlight w:val="none"/>
          <w:lang w:val="en-US" w:eastAsia="zh-CN"/>
        </w:rPr>
        <w:t>。</w:t>
      </w:r>
      <w:bookmarkEnd w:id="286"/>
      <w:bookmarkEnd w:id="28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highlight w:val="none"/>
          <w:lang w:val="en-US" w:eastAsia="zh-CN"/>
        </w:rPr>
      </w:pPr>
      <w:bookmarkStart w:id="288" w:name="_Toc16879"/>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4</w:t>
      </w:r>
      <w:r>
        <w:rPr>
          <w:rFonts w:hint="default" w:ascii="Nimbus Roman" w:hAnsi="Nimbus Roman" w:eastAsia="仿宋_GB2312" w:cs="Nimbus Roman"/>
          <w:b w:val="0"/>
          <w:bCs w:val="0"/>
          <w:color w:val="auto"/>
          <w:highlight w:val="none"/>
          <w:lang w:val="en-US" w:eastAsia="zh-CN"/>
        </w:rPr>
        <w:t>）</w:t>
      </w:r>
      <w:r>
        <w:rPr>
          <w:rFonts w:hint="default" w:ascii="Nimbus Roman" w:hAnsi="Nimbus Roman" w:cs="Nimbus Roman"/>
          <w:b w:val="0"/>
          <w:bCs w:val="0"/>
          <w:color w:val="auto"/>
          <w:highlight w:val="none"/>
          <w:lang w:val="en-US" w:eastAsia="zh-CN"/>
        </w:rPr>
        <w:t>在联盟地区内医疗机构历史采购量大的企业优先</w:t>
      </w:r>
      <w:r>
        <w:rPr>
          <w:rFonts w:hint="default" w:ascii="Nimbus Roman" w:hAnsi="Nimbus Roman" w:eastAsia="仿宋_GB2312" w:cs="Nimbus Roman"/>
          <w:b w:val="0"/>
          <w:bCs w:val="0"/>
          <w:color w:val="auto"/>
          <w:highlight w:val="none"/>
          <w:lang w:val="en-US" w:eastAsia="zh-CN"/>
        </w:rPr>
        <w:t>（以联盟地区填报数据为准）</w:t>
      </w:r>
      <w:r>
        <w:rPr>
          <w:rFonts w:hint="default" w:ascii="Nimbus Roman" w:hAnsi="Nimbus Roman" w:cs="Nimbus Roman"/>
          <w:b w:val="0"/>
          <w:bCs w:val="0"/>
          <w:color w:val="auto"/>
          <w:highlight w:val="none"/>
          <w:lang w:val="en-US" w:eastAsia="zh-CN"/>
        </w:rPr>
        <w:t>。</w:t>
      </w:r>
      <w:bookmarkEnd w:id="288"/>
    </w:p>
    <w:p>
      <w:pPr>
        <w:keepNext w:val="0"/>
        <w:keepLines w:val="0"/>
        <w:pageBreakBefore w:val="0"/>
        <w:numPr>
          <w:ilvl w:val="0"/>
          <w:numId w:val="0"/>
        </w:numPr>
        <w:kinsoku/>
        <w:wordWrap/>
        <w:overflowPunct/>
        <w:topLinePunct w:val="0"/>
        <w:autoSpaceDE/>
        <w:autoSpaceDN/>
        <w:bidi w:val="0"/>
        <w:adjustRightInd/>
        <w:spacing w:line="576" w:lineRule="exact"/>
        <w:ind w:right="0" w:rightChars="0" w:firstLine="640" w:firstLineChars="200"/>
        <w:jc w:val="both"/>
        <w:outlineLvl w:val="2"/>
        <w:rPr>
          <w:rFonts w:hint="default" w:ascii="Nimbus Roman" w:hAnsi="Nimbus Roman" w:eastAsia="楷体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按以上规则均无法确定排名先后的，相关企业排名并列，在取最后一位拟中选企业时，相关企业都不获得拟中选资格。</w:t>
      </w:r>
      <w:bookmarkStart w:id="289" w:name="_Toc21080"/>
      <w:bookmarkStart w:id="290" w:name="_Toc19082"/>
    </w:p>
    <w:p>
      <w:pPr>
        <w:keepNext w:val="0"/>
        <w:keepLines w:val="0"/>
        <w:pageBreakBefore w:val="0"/>
        <w:numPr>
          <w:ilvl w:val="0"/>
          <w:numId w:val="0"/>
        </w:numPr>
        <w:kinsoku/>
        <w:wordWrap/>
        <w:overflowPunct/>
        <w:topLinePunct w:val="0"/>
        <w:autoSpaceDE/>
        <w:autoSpaceDN/>
        <w:bidi w:val="0"/>
        <w:adjustRightInd/>
        <w:spacing w:line="576" w:lineRule="exact"/>
        <w:ind w:right="0" w:rightChars="0" w:firstLine="640" w:firstLineChars="200"/>
        <w:jc w:val="both"/>
        <w:outlineLvl w:val="2"/>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6</w:t>
      </w: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复活规则</w:t>
      </w:r>
      <w:bookmarkEnd w:id="289"/>
      <w:bookmarkEnd w:id="29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91" w:name="_Toc9243"/>
      <w:bookmarkStart w:id="292" w:name="_Toc15009"/>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6</w:t>
      </w:r>
      <w:r>
        <w:rPr>
          <w:rFonts w:hint="default" w:ascii="Nimbus Roman" w:hAnsi="Nimbus Roman" w:cs="Nimbus Roman"/>
          <w:b w:val="0"/>
          <w:bCs w:val="0"/>
          <w:color w:val="auto"/>
          <w:highlight w:val="none"/>
          <w:lang w:val="en-US" w:eastAsia="zh-CN"/>
        </w:rPr>
        <w:t>.2.</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复活锚点：</w:t>
      </w:r>
      <w:r>
        <w:rPr>
          <w:rFonts w:hint="default" w:ascii="Nimbus Roman" w:hAnsi="Nimbus Roman" w:cs="Nimbus Roman"/>
          <w:b w:val="0"/>
          <w:bCs w:val="0"/>
          <w:color w:val="auto"/>
          <w:highlight w:val="none"/>
          <w:lang w:val="en-US" w:eastAsia="zh-CN"/>
        </w:rPr>
        <w:t>A竞价单元内</w:t>
      </w:r>
      <w:r>
        <w:rPr>
          <w:rFonts w:hint="default" w:ascii="Nimbus Roman" w:hAnsi="Nimbus Roman" w:eastAsia="仿宋_GB2312" w:cs="Nimbus Roman"/>
          <w:b w:val="0"/>
          <w:bCs w:val="0"/>
          <w:color w:val="auto"/>
          <w:highlight w:val="none"/>
          <w:lang w:val="en-US" w:eastAsia="zh-CN"/>
        </w:rPr>
        <w:t>医疗机构填报需求量排第一名企业</w:t>
      </w:r>
      <w:r>
        <w:rPr>
          <w:rFonts w:hint="default" w:ascii="Nimbus Roman" w:hAnsi="Nimbus Roman" w:cs="Nimbus Roman"/>
          <w:b w:val="0"/>
          <w:bCs w:val="0"/>
          <w:color w:val="auto"/>
          <w:highlight w:val="none"/>
          <w:lang w:val="en-US" w:eastAsia="zh-CN"/>
        </w:rPr>
        <w:t>的复活锚点</w:t>
      </w:r>
      <w:r>
        <w:rPr>
          <w:rFonts w:hint="default" w:ascii="Nimbus Roman" w:hAnsi="Nimbus Roman" w:eastAsia="仿宋_GB2312" w:cs="Nimbus Roman"/>
          <w:b w:val="0"/>
          <w:bCs w:val="0"/>
          <w:color w:val="auto"/>
          <w:highlight w:val="none"/>
          <w:lang w:val="en-US" w:eastAsia="zh-CN"/>
        </w:rPr>
        <w:t>为最高有效申报价的</w:t>
      </w:r>
      <w:r>
        <w:rPr>
          <w:rFonts w:hint="default" w:ascii="Nimbus Roman" w:hAnsi="Nimbus Roman" w:cs="Nimbus Roman"/>
          <w:b w:val="0"/>
          <w:bCs w:val="0"/>
          <w:color w:val="auto"/>
          <w:highlight w:val="none"/>
          <w:lang w:val="en-US" w:eastAsia="zh-CN"/>
        </w:rPr>
        <w:t>65</w:t>
      </w:r>
      <w:r>
        <w:rPr>
          <w:rFonts w:hint="default" w:ascii="Nimbus Roman" w:hAnsi="Nimbus Roman" w:eastAsia="仿宋_GB2312" w:cs="Nimbus Roman"/>
          <w:b w:val="0"/>
          <w:bCs w:val="0"/>
          <w:color w:val="auto"/>
          <w:highlight w:val="none"/>
          <w:lang w:val="en-US" w:eastAsia="zh-CN"/>
        </w:rPr>
        <w:t>%（四舍五入精确到小数点后两位）</w:t>
      </w:r>
      <w:r>
        <w:rPr>
          <w:rFonts w:hint="default" w:ascii="Nimbus Roman" w:hAnsi="Nimbus Roman" w:cs="Nimbus Roman"/>
          <w:b w:val="0"/>
          <w:bCs w:val="0"/>
          <w:color w:val="auto"/>
          <w:highlight w:val="none"/>
          <w:lang w:val="en-US" w:eastAsia="zh-CN"/>
        </w:rPr>
        <w:t>；</w:t>
      </w:r>
      <w:r>
        <w:rPr>
          <w:rFonts w:hint="default" w:ascii="Nimbus Roman" w:hAnsi="Nimbus Roman" w:eastAsia="仿宋_GB2312" w:cs="Nimbus Roman"/>
          <w:b w:val="0"/>
          <w:bCs w:val="0"/>
          <w:color w:val="auto"/>
          <w:highlight w:val="none"/>
          <w:lang w:val="en-US" w:eastAsia="zh-CN"/>
        </w:rPr>
        <w:t>A竞价单元</w:t>
      </w:r>
      <w:r>
        <w:rPr>
          <w:rFonts w:hint="default" w:ascii="Nimbus Roman" w:hAnsi="Nimbus Roman" w:cs="Nimbus Roman"/>
          <w:b w:val="0"/>
          <w:bCs w:val="0"/>
          <w:color w:val="auto"/>
          <w:highlight w:val="none"/>
          <w:lang w:val="en-US" w:eastAsia="zh-CN"/>
        </w:rPr>
        <w:t>其他企业</w:t>
      </w:r>
      <w:r>
        <w:rPr>
          <w:rFonts w:hint="default" w:ascii="Nimbus Roman" w:hAnsi="Nimbus Roman" w:eastAsia="仿宋_GB2312" w:cs="Nimbus Roman"/>
          <w:b w:val="0"/>
          <w:bCs w:val="0"/>
          <w:color w:val="auto"/>
          <w:highlight w:val="none"/>
          <w:lang w:val="en-US" w:eastAsia="zh-CN"/>
        </w:rPr>
        <w:t>的复活锚点为最高有效申报价的60%（四舍五入精确到小数点后两位）</w:t>
      </w:r>
      <w:r>
        <w:rPr>
          <w:rFonts w:hint="default" w:ascii="Nimbus Roman" w:hAnsi="Nimbus Roman" w:cs="Nimbus Roman"/>
          <w:b w:val="0"/>
          <w:bCs w:val="0"/>
          <w:color w:val="auto"/>
          <w:highlight w:val="none"/>
          <w:lang w:val="en-US" w:eastAsia="zh-CN"/>
        </w:rPr>
        <w:t>；</w:t>
      </w:r>
      <w:r>
        <w:rPr>
          <w:rFonts w:hint="default" w:ascii="Nimbus Roman" w:hAnsi="Nimbus Roman" w:eastAsia="仿宋_GB2312" w:cs="Nimbus Roman"/>
          <w:b w:val="0"/>
          <w:bCs w:val="0"/>
          <w:color w:val="auto"/>
          <w:highlight w:val="none"/>
          <w:lang w:val="en-US" w:eastAsia="zh-CN"/>
        </w:rPr>
        <w:t>B竞价单元的复活锚点为最高有效申报价的50%（四舍五入精确到小数点后两位）。</w:t>
      </w:r>
      <w:bookmarkEnd w:id="291"/>
      <w:bookmarkEnd w:id="292"/>
      <w:bookmarkStart w:id="293" w:name="_Toc21928"/>
      <w:bookmarkStart w:id="294" w:name="_Toc2584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6</w:t>
      </w:r>
      <w:r>
        <w:rPr>
          <w:rFonts w:hint="default" w:ascii="Nimbus Roman" w:hAnsi="Nimbus Roman" w:cs="Nimbus Roman"/>
          <w:b w:val="0"/>
          <w:bCs w:val="0"/>
          <w:color w:val="auto"/>
          <w:highlight w:val="none"/>
          <w:lang w:val="en-US" w:eastAsia="zh-CN"/>
        </w:rPr>
        <w:t>.2.</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按照“中选规则”未能获得拟中选资格的申报企业报价不高于对应竞价单元复活锚点的，可不受最多拟中选企业数额限制，复活获得拟中选资格。</w:t>
      </w:r>
      <w:bookmarkEnd w:id="293"/>
      <w:bookmarkEnd w:id="29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295" w:name="_Toc31625"/>
      <w:bookmarkStart w:id="296" w:name="_Toc22333"/>
      <w:bookmarkStart w:id="297" w:name="_Toc22252"/>
      <w:bookmarkStart w:id="298" w:name="_Toc5824"/>
      <w:bookmarkStart w:id="299" w:name="_Toc941"/>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6</w:t>
      </w:r>
      <w:r>
        <w:rPr>
          <w:rFonts w:hint="default" w:ascii="Nimbus Roman" w:hAnsi="Nimbus Roman" w:eastAsia="仿宋_GB2312" w:cs="Nimbus Roman"/>
          <w:b w:val="0"/>
          <w:bCs w:val="0"/>
          <w:color w:val="auto"/>
          <w:highlight w:val="none"/>
          <w:lang w:val="en-US" w:eastAsia="zh-CN"/>
        </w:rPr>
        <w:t>.3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限价规则</w:t>
      </w:r>
      <w:bookmarkEnd w:id="295"/>
      <w:bookmarkEnd w:id="29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bookmarkStart w:id="300" w:name="_Toc26132"/>
      <w:bookmarkStart w:id="301" w:name="_Toc26547"/>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6</w:t>
      </w:r>
      <w:r>
        <w:rPr>
          <w:rFonts w:hint="default" w:ascii="Nimbus Roman" w:hAnsi="Nimbus Roman" w:cs="Nimbus Roman"/>
          <w:b w:val="0"/>
          <w:bCs w:val="0"/>
          <w:color w:val="auto"/>
          <w:sz w:val="32"/>
          <w:szCs w:val="32"/>
          <w:highlight w:val="none"/>
          <w:lang w:val="en-US" w:eastAsia="zh-CN" w:bidi="zh-CN"/>
        </w:rPr>
        <w:t>.3.</w:t>
      </w:r>
      <w:r>
        <w:rPr>
          <w:rFonts w:hint="default" w:ascii="Nimbus Roman" w:hAnsi="Nimbus Roman" w:eastAsia="仿宋_GB2312" w:cs="Nimbus Roman"/>
          <w:b w:val="0"/>
          <w:bCs w:val="0"/>
          <w:color w:val="auto"/>
          <w:sz w:val="32"/>
          <w:szCs w:val="32"/>
          <w:highlight w:val="none"/>
          <w:lang w:val="en-US" w:eastAsia="zh-CN" w:bidi="zh-CN"/>
        </w:rPr>
        <w:t>1</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限价锚点。竞价组A竞价单元按“中选规则”确定的拟中选价格的算术平均值作为该竞价组</w:t>
      </w:r>
      <w:r>
        <w:rPr>
          <w:rFonts w:hint="default" w:ascii="Nimbus Roman" w:hAnsi="Nimbus Roman" w:cs="Nimbus Roman"/>
          <w:b w:val="0"/>
          <w:bCs w:val="0"/>
          <w:color w:val="auto"/>
          <w:sz w:val="32"/>
          <w:szCs w:val="32"/>
          <w:highlight w:val="none"/>
          <w:lang w:val="en-US" w:eastAsia="zh-CN" w:bidi="zh-CN"/>
        </w:rPr>
        <w:t>B</w:t>
      </w:r>
      <w:r>
        <w:rPr>
          <w:rFonts w:hint="default" w:ascii="Nimbus Roman" w:hAnsi="Nimbus Roman" w:eastAsia="仿宋_GB2312" w:cs="Nimbus Roman"/>
          <w:b w:val="0"/>
          <w:bCs w:val="0"/>
          <w:color w:val="auto"/>
          <w:sz w:val="32"/>
          <w:szCs w:val="32"/>
          <w:highlight w:val="none"/>
          <w:lang w:val="en-US" w:eastAsia="zh-CN" w:bidi="zh-CN"/>
        </w:rPr>
        <w:t>竞价单元的限价锚点（四舍五入精确到小数点后两位）。</w:t>
      </w:r>
      <w:bookmarkEnd w:id="300"/>
      <w:bookmarkEnd w:id="301"/>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bookmarkStart w:id="302" w:name="_Toc30998"/>
      <w:bookmarkStart w:id="303" w:name="_Toc30150"/>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6</w:t>
      </w:r>
      <w:r>
        <w:rPr>
          <w:rFonts w:hint="default" w:ascii="Nimbus Roman" w:hAnsi="Nimbus Roman" w:cs="Nimbus Roman"/>
          <w:b w:val="0"/>
          <w:bCs w:val="0"/>
          <w:color w:val="auto"/>
          <w:sz w:val="32"/>
          <w:szCs w:val="32"/>
          <w:highlight w:val="none"/>
          <w:lang w:val="en-US" w:eastAsia="zh-CN" w:bidi="zh-CN"/>
        </w:rPr>
        <w:t>.3.</w:t>
      </w:r>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若B竞价单元企业的拟中选价格（含复活获得拟中选资格的企业）高于限价锚点，则以限价锚点作为该企业的拟中选价格。不同意限价锚点的企业，取消</w:t>
      </w:r>
      <w:r>
        <w:rPr>
          <w:rFonts w:hint="default" w:ascii="Nimbus Roman" w:hAnsi="Nimbus Roman" w:cs="Nimbus Roman"/>
          <w:b w:val="0"/>
          <w:bCs w:val="0"/>
          <w:color w:val="auto"/>
          <w:sz w:val="32"/>
          <w:szCs w:val="32"/>
          <w:highlight w:val="none"/>
          <w:lang w:val="en-US" w:eastAsia="zh-CN" w:bidi="zh-CN"/>
        </w:rPr>
        <w:t>其</w:t>
      </w:r>
      <w:r>
        <w:rPr>
          <w:rFonts w:hint="default" w:ascii="Nimbus Roman" w:hAnsi="Nimbus Roman" w:eastAsia="仿宋_GB2312" w:cs="Nimbus Roman"/>
          <w:b w:val="0"/>
          <w:bCs w:val="0"/>
          <w:color w:val="auto"/>
          <w:sz w:val="32"/>
          <w:szCs w:val="32"/>
          <w:highlight w:val="none"/>
          <w:lang w:val="en-US" w:eastAsia="zh-CN" w:bidi="zh-CN"/>
        </w:rPr>
        <w:t>拟中选资格。</w:t>
      </w:r>
      <w:bookmarkEnd w:id="302"/>
      <w:bookmarkEnd w:id="30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sz w:val="32"/>
          <w:szCs w:val="32"/>
          <w:lang w:val="en-US" w:eastAsia="zh-CN" w:bidi="zh-CN"/>
        </w:rPr>
      </w:pPr>
      <w:bookmarkStart w:id="304" w:name="_Toc19133"/>
      <w:r>
        <w:rPr>
          <w:rFonts w:hint="default" w:ascii="Nimbus Roman" w:hAnsi="Nimbus Roman" w:eastAsia="黑体" w:cs="Nimbus Roman"/>
          <w:b w:val="0"/>
          <w:bCs w:val="0"/>
          <w:color w:val="auto"/>
          <w:sz w:val="32"/>
          <w:szCs w:val="32"/>
          <w:lang w:val="en-US" w:eastAsia="zh-CN" w:bidi="zh-CN"/>
        </w:rPr>
        <w:t>2.</w:t>
      </w:r>
      <w:r>
        <w:rPr>
          <w:rFonts w:hint="eastAsia" w:ascii="Nimbus Roman" w:hAnsi="Nimbus Roman" w:eastAsia="黑体" w:cs="Nimbus Roman"/>
          <w:b w:val="0"/>
          <w:bCs w:val="0"/>
          <w:color w:val="auto"/>
          <w:sz w:val="32"/>
          <w:szCs w:val="32"/>
          <w:lang w:val="en-US" w:eastAsia="zh-CN" w:bidi="zh-CN"/>
        </w:rPr>
        <w:t xml:space="preserve">7 </w:t>
      </w:r>
      <w:r>
        <w:rPr>
          <w:rFonts w:hint="default" w:ascii="Nimbus Roman" w:hAnsi="Nimbus Roman" w:eastAsia="黑体" w:cs="Nimbus Roman"/>
          <w:b w:val="0"/>
          <w:bCs w:val="0"/>
          <w:color w:val="auto"/>
          <w:sz w:val="32"/>
          <w:szCs w:val="32"/>
          <w:lang w:val="en-US" w:eastAsia="zh-CN" w:bidi="zh-CN"/>
        </w:rPr>
        <w:t>拟供应产品价格确定及纠偏</w:t>
      </w:r>
      <w:bookmarkEnd w:id="297"/>
      <w:bookmarkEnd w:id="298"/>
      <w:bookmarkEnd w:id="299"/>
      <w:bookmarkEnd w:id="30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bookmarkStart w:id="305" w:name="_Toc23075"/>
      <w:bookmarkStart w:id="306" w:name="_Toc21921"/>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eastAsia="仿宋_GB2312" w:cs="Nimbus Roman"/>
          <w:b w:val="0"/>
          <w:bCs w:val="0"/>
          <w:color w:val="auto"/>
          <w:sz w:val="32"/>
          <w:szCs w:val="32"/>
          <w:highlight w:val="none"/>
          <w:lang w:val="en-US" w:eastAsia="zh-CN" w:bidi="zh-CN"/>
        </w:rPr>
        <w:t>7</w:t>
      </w:r>
      <w:r>
        <w:rPr>
          <w:rFonts w:hint="default" w:ascii="Nimbus Roman" w:hAnsi="Nimbus Roman" w:eastAsia="仿宋_GB2312" w:cs="Nimbus Roman"/>
          <w:b w:val="0"/>
          <w:bCs w:val="0"/>
          <w:color w:val="auto"/>
          <w:sz w:val="32"/>
          <w:szCs w:val="32"/>
          <w:highlight w:val="none"/>
          <w:lang w:val="en-US" w:eastAsia="zh-CN" w:bidi="zh-CN"/>
        </w:rPr>
        <w:t>.1</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拟供应产品价格确定</w:t>
      </w:r>
      <w:bookmarkEnd w:id="305"/>
      <w:bookmarkEnd w:id="30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07" w:name="_Toc5577"/>
      <w:bookmarkStart w:id="308" w:name="_Toc10192"/>
      <w:r>
        <w:rPr>
          <w:rFonts w:hint="default" w:ascii="Nimbus Roman" w:hAnsi="Nimbus Roman" w:eastAsia="仿宋_GB2312" w:cs="Nimbus Roman"/>
          <w:b w:val="0"/>
          <w:bCs w:val="0"/>
          <w:color w:val="auto"/>
          <w:highlight w:val="none"/>
          <w:lang w:val="en-US" w:eastAsia="zh-CN"/>
        </w:rPr>
        <w:t>企业各竞价组内</w:t>
      </w:r>
      <w:r>
        <w:rPr>
          <w:rFonts w:hint="default" w:ascii="Nimbus Roman" w:hAnsi="Nimbus Roman" w:cs="Nimbus Roman"/>
          <w:b w:val="0"/>
          <w:bCs w:val="0"/>
          <w:color w:val="auto"/>
          <w:highlight w:val="none"/>
          <w:lang w:val="en-US" w:eastAsia="zh-CN"/>
        </w:rPr>
        <w:t>拟供应</w:t>
      </w:r>
      <w:r>
        <w:rPr>
          <w:rFonts w:hint="default" w:ascii="Nimbus Roman" w:hAnsi="Nimbus Roman" w:eastAsia="仿宋_GB2312" w:cs="Nimbus Roman"/>
          <w:b w:val="0"/>
          <w:bCs w:val="0"/>
          <w:color w:val="auto"/>
          <w:highlight w:val="none"/>
          <w:lang w:val="en-US" w:eastAsia="zh-CN"/>
        </w:rPr>
        <w:t>产品价格=基准价格+加成金额。拟供应产品价格四舍五入精确到小数点后两位。</w:t>
      </w:r>
      <w:bookmarkEnd w:id="307"/>
      <w:bookmarkEnd w:id="30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bookmarkStart w:id="309" w:name="_Toc5745"/>
      <w:bookmarkStart w:id="310" w:name="_Toc30793"/>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7</w:t>
      </w:r>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价格纠偏</w:t>
      </w:r>
      <w:bookmarkEnd w:id="309"/>
      <w:bookmarkEnd w:id="310"/>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rPr>
          <w:rFonts w:hint="default" w:ascii="Nimbus Roman" w:hAnsi="Nimbus Roman" w:eastAsia="仿宋_GB2312" w:cs="Nimbus Roman"/>
          <w:b w:val="0"/>
          <w:bCs w:val="0"/>
          <w:color w:val="auto"/>
          <w:sz w:val="32"/>
          <w:szCs w:val="32"/>
          <w:highlight w:val="none"/>
          <w:lang w:val="en-US" w:eastAsia="zh-CN" w:bidi="zh-CN"/>
        </w:rPr>
      </w:pPr>
      <w:bookmarkStart w:id="311" w:name="_Toc16767"/>
      <w:bookmarkStart w:id="312" w:name="_Toc22417"/>
      <w:bookmarkStart w:id="313" w:name="_Toc10702"/>
      <w:bookmarkStart w:id="314" w:name="_Toc21341"/>
      <w:bookmarkStart w:id="315" w:name="_Toc28452"/>
      <w:bookmarkStart w:id="316" w:name="_Toc27304"/>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eastAsia="仿宋_GB2312" w:cs="Nimbus Roman"/>
          <w:b w:val="0"/>
          <w:bCs w:val="0"/>
          <w:color w:val="auto"/>
          <w:sz w:val="32"/>
          <w:szCs w:val="32"/>
          <w:highlight w:val="none"/>
          <w:lang w:val="en-US" w:eastAsia="zh-CN" w:bidi="zh-CN"/>
        </w:rPr>
        <w:t>7</w:t>
      </w:r>
      <w:r>
        <w:rPr>
          <w:rFonts w:hint="default" w:ascii="Nimbus Roman" w:hAnsi="Nimbus Roman" w:eastAsia="仿宋_GB2312" w:cs="Nimbus Roman"/>
          <w:b w:val="0"/>
          <w:bCs w:val="0"/>
          <w:color w:val="auto"/>
          <w:sz w:val="32"/>
          <w:szCs w:val="32"/>
          <w:highlight w:val="none"/>
          <w:lang w:val="en-US" w:eastAsia="zh-CN" w:bidi="zh-CN"/>
        </w:rPr>
        <w:t>.2.1</w:t>
      </w:r>
      <w:r>
        <w:rPr>
          <w:rFonts w:hint="eastAsia" w:ascii="Nimbus Roman" w:hAnsi="Nimbus Roman" w:eastAsia="仿宋_GB2312"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企业拟供应产品价格高于全国省级及以上医药采购平台现行最低挂网价的，以最低挂网价格作为最终供应价格。</w:t>
      </w:r>
      <w:bookmarkEnd w:id="311"/>
      <w:bookmarkEnd w:id="312"/>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rPr>
          <w:rFonts w:hint="default" w:ascii="Nimbus Roman" w:hAnsi="Nimbus Roman" w:eastAsia="仿宋_GB2312" w:cs="Nimbus Roman"/>
          <w:b w:val="0"/>
          <w:bCs w:val="0"/>
          <w:color w:val="auto"/>
          <w:sz w:val="32"/>
          <w:szCs w:val="32"/>
          <w:highlight w:val="none"/>
          <w:lang w:val="en-US" w:eastAsia="zh-CN" w:bidi="zh-CN"/>
        </w:rPr>
      </w:pPr>
      <w:bookmarkStart w:id="317" w:name="_Toc18421"/>
      <w:bookmarkStart w:id="318" w:name="_Toc5714"/>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eastAsia="仿宋_GB2312" w:cs="Nimbus Roman"/>
          <w:b w:val="0"/>
          <w:bCs w:val="0"/>
          <w:color w:val="auto"/>
          <w:sz w:val="32"/>
          <w:szCs w:val="32"/>
          <w:highlight w:val="none"/>
          <w:lang w:val="en-US" w:eastAsia="zh-CN" w:bidi="zh-CN"/>
        </w:rPr>
        <w:t>7</w:t>
      </w:r>
      <w:r>
        <w:rPr>
          <w:rFonts w:hint="default" w:ascii="Nimbus Roman" w:hAnsi="Nimbus Roman" w:eastAsia="仿宋_GB2312" w:cs="Nimbus Roman"/>
          <w:b w:val="0"/>
          <w:bCs w:val="0"/>
          <w:color w:val="auto"/>
          <w:sz w:val="32"/>
          <w:szCs w:val="32"/>
          <w:highlight w:val="none"/>
          <w:lang w:val="en-US" w:eastAsia="zh-CN" w:bidi="zh-CN"/>
        </w:rPr>
        <w:t>.2.2</w:t>
      </w:r>
      <w:r>
        <w:rPr>
          <w:rFonts w:hint="eastAsia" w:ascii="Nimbus Roman" w:hAnsi="Nimbus Roman" w:eastAsia="仿宋_GB2312"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企业拟供应产品价格高于该产品在联盟地区内历史采购量前三的医疗机构的最低实际交易价格的，以最低实际交易价格作为最终供应价格（实际交易价格以医疗机构填报历史价格为准）。</w:t>
      </w:r>
      <w:bookmarkEnd w:id="317"/>
      <w:bookmarkEnd w:id="318"/>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rPr>
          <w:rFonts w:hint="default" w:ascii="Nimbus Roman" w:hAnsi="Nimbus Roman" w:eastAsia="仿宋_GB2312" w:cs="Nimbus Roman"/>
          <w:b w:val="0"/>
          <w:bCs w:val="0"/>
          <w:color w:val="auto"/>
          <w:sz w:val="32"/>
          <w:szCs w:val="32"/>
          <w:highlight w:val="none"/>
          <w:lang w:val="en-US" w:eastAsia="zh-CN" w:bidi="zh-CN"/>
        </w:rPr>
      </w:pPr>
      <w:bookmarkStart w:id="319" w:name="_Toc12660"/>
      <w:bookmarkStart w:id="320" w:name="_Toc6246"/>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eastAsia="仿宋_GB2312" w:cs="Nimbus Roman"/>
          <w:b w:val="0"/>
          <w:bCs w:val="0"/>
          <w:color w:val="auto"/>
          <w:sz w:val="32"/>
          <w:szCs w:val="32"/>
          <w:highlight w:val="none"/>
          <w:lang w:val="en-US" w:eastAsia="zh-CN" w:bidi="zh-CN"/>
        </w:rPr>
        <w:t>7</w:t>
      </w:r>
      <w:r>
        <w:rPr>
          <w:rFonts w:hint="default" w:ascii="Nimbus Roman" w:hAnsi="Nimbus Roman" w:eastAsia="仿宋_GB2312" w:cs="Nimbus Roman"/>
          <w:b w:val="0"/>
          <w:bCs w:val="0"/>
          <w:color w:val="auto"/>
          <w:sz w:val="32"/>
          <w:szCs w:val="32"/>
          <w:highlight w:val="none"/>
          <w:lang w:val="en-US" w:eastAsia="zh-CN" w:bidi="zh-CN"/>
        </w:rPr>
        <w:t>.2.3</w:t>
      </w:r>
      <w:r>
        <w:rPr>
          <w:rFonts w:hint="eastAsia" w:ascii="Nimbus Roman" w:hAnsi="Nimbus Roman" w:eastAsia="仿宋_GB2312"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价格纠偏以拟中选产品（27位码）为单元，同时触发以上多条纠偏规则的，以最低价格作为最终供应价格。</w:t>
      </w:r>
      <w:bookmarkEnd w:id="319"/>
      <w:bookmarkStart w:id="321" w:name="_Toc21075"/>
    </w:p>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rPr>
          <w:rFonts w:hint="default" w:ascii="Nimbus Roman" w:hAnsi="Nimbus Roman" w:eastAsia="仿宋_GB2312" w:cs="Nimbus Roman"/>
          <w:b w:val="0"/>
          <w:bCs w:val="0"/>
          <w:color w:val="auto"/>
          <w:sz w:val="32"/>
          <w:szCs w:val="32"/>
          <w:highlight w:val="none"/>
          <w:lang w:val="en-US" w:eastAsia="zh-CN" w:bidi="zh-CN"/>
        </w:rPr>
      </w:pPr>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eastAsia="仿宋_GB2312" w:cs="Nimbus Roman"/>
          <w:b w:val="0"/>
          <w:bCs w:val="0"/>
          <w:color w:val="auto"/>
          <w:sz w:val="32"/>
          <w:szCs w:val="32"/>
          <w:highlight w:val="none"/>
          <w:lang w:val="en-US" w:eastAsia="zh-CN" w:bidi="zh-CN"/>
        </w:rPr>
        <w:t>7</w:t>
      </w:r>
      <w:r>
        <w:rPr>
          <w:rFonts w:hint="default" w:ascii="Nimbus Roman" w:hAnsi="Nimbus Roman" w:eastAsia="仿宋_GB2312" w:cs="Nimbus Roman"/>
          <w:b w:val="0"/>
          <w:bCs w:val="0"/>
          <w:color w:val="auto"/>
          <w:sz w:val="32"/>
          <w:szCs w:val="32"/>
          <w:highlight w:val="none"/>
          <w:lang w:val="en-US" w:eastAsia="zh-CN" w:bidi="zh-CN"/>
        </w:rPr>
        <w:t>.2.4</w:t>
      </w:r>
      <w:r>
        <w:rPr>
          <w:rFonts w:hint="eastAsia" w:ascii="Nimbus Roman" w:hAnsi="Nimbus Roman" w:eastAsia="仿宋_GB2312"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拒绝执行纠偏规则的，取消该产品拟中选资格。</w:t>
      </w:r>
      <w:bookmarkEnd w:id="321"/>
    </w:p>
    <w:bookmarkEnd w:id="320"/>
    <w:p>
      <w:pPr>
        <w:pStyle w:val="3"/>
        <w:keepNext w:val="0"/>
        <w:keepLines w:val="0"/>
        <w:pageBreakBefore w:val="0"/>
        <w:widowControl w:val="0"/>
        <w:kinsoku/>
        <w:wordWrap/>
        <w:overflowPunct/>
        <w:topLinePunct w:val="0"/>
        <w:bidi w:val="0"/>
        <w:adjustRightInd/>
        <w:spacing w:before="0" w:line="576" w:lineRule="exact"/>
        <w:ind w:left="0" w:leftChars="0" w:firstLine="640" w:firstLineChars="200"/>
        <w:jc w:val="both"/>
        <w:textAlignment w:val="auto"/>
        <w:rPr>
          <w:rFonts w:hint="default" w:ascii="Nimbus Roman" w:hAnsi="Nimbus Roman" w:eastAsia="黑体" w:cs="Nimbus Roman"/>
          <w:b w:val="0"/>
          <w:bCs w:val="0"/>
          <w:color w:val="auto"/>
          <w:highlight w:val="none"/>
          <w:lang w:val="en-US" w:eastAsia="zh-CN"/>
        </w:rPr>
      </w:pPr>
      <w:bookmarkStart w:id="322" w:name="_Toc28563"/>
      <w:r>
        <w:rPr>
          <w:rFonts w:hint="default" w:ascii="Nimbus Roman" w:hAnsi="Nimbus Roman" w:cs="Nimbus Roman"/>
          <w:b w:val="0"/>
          <w:bCs w:val="0"/>
          <w:color w:val="auto"/>
          <w:sz w:val="32"/>
          <w:szCs w:val="32"/>
          <w:lang w:val="en-US" w:eastAsia="zh-CN" w:bidi="zh-CN"/>
        </w:rPr>
        <w:t>2.</w:t>
      </w:r>
      <w:r>
        <w:rPr>
          <w:rFonts w:hint="eastAsia" w:ascii="Nimbus Roman" w:hAnsi="Nimbus Roman" w:cs="Nimbus Roman"/>
          <w:b w:val="0"/>
          <w:bCs w:val="0"/>
          <w:color w:val="auto"/>
          <w:sz w:val="32"/>
          <w:szCs w:val="32"/>
          <w:lang w:val="en-US" w:eastAsia="zh-CN" w:bidi="zh-CN"/>
        </w:rPr>
        <w:t xml:space="preserve">8 </w:t>
      </w:r>
      <w:r>
        <w:rPr>
          <w:rFonts w:hint="default" w:ascii="Nimbus Roman" w:hAnsi="Nimbus Roman" w:cs="Nimbus Roman"/>
          <w:b w:val="0"/>
          <w:bCs w:val="0"/>
          <w:color w:val="auto"/>
          <w:sz w:val="32"/>
          <w:szCs w:val="32"/>
          <w:lang w:val="en-US" w:eastAsia="zh-CN" w:bidi="zh-CN"/>
        </w:rPr>
        <w:t>中选产品结果</w:t>
      </w:r>
      <w:bookmarkEnd w:id="313"/>
      <w:bookmarkEnd w:id="314"/>
      <w:bookmarkEnd w:id="315"/>
      <w:bookmarkEnd w:id="316"/>
      <w:bookmarkEnd w:id="32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23" w:name="_Toc21545"/>
      <w:bookmarkStart w:id="324" w:name="_Toc5358"/>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8</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拟中选结果公示</w:t>
      </w:r>
      <w:bookmarkEnd w:id="323"/>
      <w:bookmarkEnd w:id="32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25" w:name="_Toc32150"/>
      <w:bookmarkStart w:id="326" w:name="_Toc24519"/>
      <w:r>
        <w:rPr>
          <w:rFonts w:hint="default" w:ascii="Nimbus Roman" w:hAnsi="Nimbus Roman" w:eastAsia="仿宋_GB2312" w:cs="Nimbus Roman"/>
          <w:b w:val="0"/>
          <w:bCs w:val="0"/>
          <w:color w:val="auto"/>
          <w:highlight w:val="none"/>
          <w:lang w:val="en-US" w:eastAsia="zh-CN"/>
        </w:rPr>
        <w:t>拟中选结果产生后，在湖南省医疗保障局官网进行公示。对拟中选结果有异议的，应在公示期间内提出，并依法依规提供有效证明材料。未提供相应证明材料的，原则上不予受理。如拟中选企业被取消中选资格，不递补拟中选企业。</w:t>
      </w:r>
      <w:bookmarkEnd w:id="325"/>
      <w:bookmarkEnd w:id="32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27" w:name="_Toc5935"/>
      <w:bookmarkStart w:id="328" w:name="_Toc23504"/>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8</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中选结果公布</w:t>
      </w:r>
      <w:bookmarkEnd w:id="327"/>
      <w:bookmarkEnd w:id="32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29" w:name="_Toc30324"/>
      <w:bookmarkStart w:id="330" w:name="_Toc7397"/>
      <w:r>
        <w:rPr>
          <w:rFonts w:hint="default" w:ascii="Nimbus Roman" w:hAnsi="Nimbus Roman" w:eastAsia="仿宋_GB2312" w:cs="Nimbus Roman"/>
          <w:b w:val="0"/>
          <w:bCs w:val="0"/>
          <w:color w:val="auto"/>
          <w:highlight w:val="none"/>
          <w:lang w:val="en-US" w:eastAsia="zh-CN"/>
        </w:rPr>
        <w:t>拟中选结果公示</w:t>
      </w:r>
      <w:r>
        <w:rPr>
          <w:rFonts w:hint="default" w:ascii="Nimbus Roman" w:hAnsi="Nimbus Roman" w:cs="Nimbus Roman"/>
          <w:b w:val="0"/>
          <w:bCs w:val="0"/>
          <w:color w:val="auto"/>
          <w:highlight w:val="none"/>
          <w:lang w:val="en-US" w:eastAsia="zh-CN"/>
        </w:rPr>
        <w:t>期结束</w:t>
      </w:r>
      <w:r>
        <w:rPr>
          <w:rFonts w:hint="default" w:ascii="Nimbus Roman" w:hAnsi="Nimbus Roman" w:eastAsia="仿宋_GB2312" w:cs="Nimbus Roman"/>
          <w:b w:val="0"/>
          <w:bCs w:val="0"/>
          <w:color w:val="auto"/>
          <w:highlight w:val="none"/>
          <w:lang w:val="en-US" w:eastAsia="zh-CN"/>
        </w:rPr>
        <w:t>后，在湖南省医疗保障局官网公布中选结果。</w:t>
      </w:r>
      <w:bookmarkEnd w:id="329"/>
      <w:bookmarkEnd w:id="33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31" w:name="_Toc6477"/>
      <w:bookmarkStart w:id="332" w:name="_Toc19299"/>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8</w:t>
      </w:r>
      <w:r>
        <w:rPr>
          <w:rFonts w:hint="default" w:ascii="Nimbus Roman" w:hAnsi="Nimbus Roman" w:eastAsia="仿宋_GB2312" w:cs="Nimbus Roman"/>
          <w:b w:val="0"/>
          <w:bCs w:val="0"/>
          <w:color w:val="auto"/>
          <w:highlight w:val="none"/>
          <w:lang w:val="en-US" w:eastAsia="zh-CN"/>
        </w:rPr>
        <w:t>.3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产品信息维护</w:t>
      </w:r>
      <w:bookmarkEnd w:id="331"/>
      <w:bookmarkEnd w:id="33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33" w:name="_Toc20366"/>
      <w:bookmarkStart w:id="334" w:name="_Toc1939"/>
      <w:r>
        <w:rPr>
          <w:rFonts w:hint="default" w:ascii="Nimbus Roman" w:hAnsi="Nimbus Roman" w:eastAsia="仿宋_GB2312" w:cs="Nimbus Roman"/>
          <w:b w:val="0"/>
          <w:bCs w:val="0"/>
          <w:color w:val="auto"/>
          <w:highlight w:val="none"/>
          <w:lang w:val="en-US" w:eastAsia="zh-CN"/>
        </w:rPr>
        <w:t>为做好采购协议签订等后续工作，中选企业应在规定时间内完成供应清单维护工作。</w:t>
      </w:r>
      <w:bookmarkEnd w:id="333"/>
      <w:bookmarkEnd w:id="334"/>
      <w:bookmarkStart w:id="335" w:name="_Toc12151"/>
      <w:bookmarkStart w:id="336" w:name="_Toc8546"/>
      <w:bookmarkStart w:id="337" w:name="_Toc1212"/>
    </w:p>
    <w:p>
      <w:pPr>
        <w:keepNext w:val="0"/>
        <w:keepLines w:val="0"/>
        <w:pageBreakBefore w:val="0"/>
        <w:widowControl w:val="0"/>
        <w:numPr>
          <w:ilvl w:val="0"/>
          <w:numId w:val="0"/>
        </w:numPr>
        <w:kinsoku/>
        <w:wordWrap/>
        <w:overflowPunct/>
        <w:topLinePunct w:val="0"/>
        <w:autoSpaceDE w:val="0"/>
        <w:autoSpaceDN w:val="0"/>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方正楷体_GB2312" w:cs="Nimbus Roman"/>
          <w:b/>
          <w:bCs/>
          <w:color w:val="auto"/>
          <w:highlight w:val="none"/>
          <w:lang w:val="en-US" w:eastAsia="zh-CN"/>
        </w:rPr>
      </w:pPr>
      <w:bookmarkStart w:id="338" w:name="_Toc26771"/>
      <w:r>
        <w:rPr>
          <w:rFonts w:hint="default" w:ascii="Nimbus Roman" w:hAnsi="Nimbus Roman" w:eastAsia="黑体" w:cs="Nimbus Roman"/>
          <w:b w:val="0"/>
          <w:bCs w:val="0"/>
          <w:color w:val="auto"/>
          <w:sz w:val="32"/>
          <w:szCs w:val="32"/>
          <w:lang w:val="en-US" w:eastAsia="zh-CN" w:bidi="zh-CN"/>
        </w:rPr>
        <w:t>2.</w:t>
      </w:r>
      <w:r>
        <w:rPr>
          <w:rFonts w:hint="eastAsia" w:ascii="Nimbus Roman" w:hAnsi="Nimbus Roman" w:eastAsia="黑体" w:cs="Nimbus Roman"/>
          <w:b w:val="0"/>
          <w:bCs w:val="0"/>
          <w:color w:val="auto"/>
          <w:sz w:val="32"/>
          <w:szCs w:val="32"/>
          <w:lang w:val="en-US" w:eastAsia="zh-CN" w:bidi="zh-CN"/>
        </w:rPr>
        <w:t xml:space="preserve">9 </w:t>
      </w:r>
      <w:r>
        <w:rPr>
          <w:rFonts w:hint="default" w:ascii="Nimbus Roman" w:hAnsi="Nimbus Roman" w:eastAsia="黑体" w:cs="Nimbus Roman"/>
          <w:b w:val="0"/>
          <w:bCs w:val="0"/>
          <w:color w:val="auto"/>
          <w:sz w:val="32"/>
          <w:szCs w:val="32"/>
          <w:lang w:val="en-US" w:eastAsia="zh-CN" w:bidi="zh-CN"/>
        </w:rPr>
        <w:t>协议采购量分配和确认</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9</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协议采购量分配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FangSong_GB2312" w:cs="Nimbus Roman"/>
          <w:color w:val="auto"/>
          <w:spacing w:val="6"/>
          <w:sz w:val="31"/>
          <w:szCs w:val="31"/>
        </w:rPr>
      </w:pPr>
      <w:r>
        <w:rPr>
          <w:rFonts w:hint="default" w:ascii="Nimbus Roman" w:hAnsi="Nimbus Roman" w:cs="Nimbus Roman"/>
          <w:color w:val="auto"/>
        </w:rPr>
        <w:t>各医疗机构通过“湖南招采管理系统”确定各中选产品的协议采购量。协议采购量按本次集中带量采购规则</w:t>
      </w:r>
      <w:r>
        <w:rPr>
          <w:rFonts w:hint="eastAsia" w:ascii="Nimbus Roman" w:hAnsi="Nimbus Roman" w:cs="Nimbus Roman"/>
          <w:color w:val="auto"/>
          <w:lang w:eastAsia="zh-CN"/>
        </w:rPr>
        <w:t>，</w:t>
      </w:r>
      <w:r>
        <w:rPr>
          <w:rFonts w:hint="default" w:ascii="Nimbus Roman" w:hAnsi="Nimbus Roman" w:cs="Nimbus Roman"/>
          <w:color w:val="auto"/>
        </w:rPr>
        <w:t>分</w:t>
      </w:r>
      <w:r>
        <w:rPr>
          <w:rFonts w:hint="eastAsia" w:ascii="Nimbus Roman" w:hAnsi="Nimbus Roman" w:cs="Nimbus Roman"/>
          <w:color w:val="auto"/>
          <w:lang w:eastAsia="zh-CN"/>
        </w:rPr>
        <w:t>“</w:t>
      </w:r>
      <w:r>
        <w:rPr>
          <w:rFonts w:hint="default" w:ascii="Nimbus Roman" w:hAnsi="Nimbus Roman" w:cs="Nimbus Roman"/>
          <w:color w:val="auto"/>
        </w:rPr>
        <w:t>基础量分配</w:t>
      </w:r>
      <w:r>
        <w:rPr>
          <w:rFonts w:hint="eastAsia" w:ascii="Nimbus Roman" w:hAnsi="Nimbus Roman" w:cs="Nimbus Roman"/>
          <w:color w:val="auto"/>
          <w:lang w:eastAsia="zh-CN"/>
        </w:rPr>
        <w:t>”</w:t>
      </w:r>
      <w:r>
        <w:rPr>
          <w:rFonts w:hint="default" w:ascii="Nimbus Roman" w:hAnsi="Nimbus Roman" w:cs="Nimbus Roman"/>
          <w:color w:val="auto"/>
        </w:rPr>
        <w:t>和</w:t>
      </w:r>
      <w:r>
        <w:rPr>
          <w:rFonts w:hint="eastAsia" w:ascii="Nimbus Roman" w:hAnsi="Nimbus Roman" w:cs="Nimbus Roman"/>
          <w:color w:val="auto"/>
          <w:lang w:eastAsia="zh-CN"/>
        </w:rPr>
        <w:t>“</w:t>
      </w:r>
      <w:r>
        <w:rPr>
          <w:rFonts w:hint="default" w:ascii="Nimbus Roman" w:hAnsi="Nimbus Roman" w:cs="Nimbus Roman"/>
          <w:color w:val="auto"/>
        </w:rPr>
        <w:t>剩余量分配</w:t>
      </w:r>
      <w:r>
        <w:rPr>
          <w:rFonts w:hint="eastAsia" w:ascii="Nimbus Roman" w:hAnsi="Nimbus Roman" w:cs="Nimbus Roman"/>
          <w:color w:val="auto"/>
          <w:lang w:eastAsia="zh-CN"/>
        </w:rPr>
        <w:t>”</w:t>
      </w:r>
      <w:r>
        <w:rPr>
          <w:rFonts w:hint="default" w:ascii="Nimbus Roman" w:hAnsi="Nimbus Roman" w:cs="Nimbus Roman"/>
          <w:color w:val="auto"/>
        </w:rPr>
        <w:t>两步确定，经医疗机构确认后形成最终协议采购量。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9</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协议采购量基础量分配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.2.1</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协议量锚点。同竞价单元</w:t>
      </w:r>
      <w:r>
        <w:rPr>
          <w:rFonts w:hint="default" w:ascii="Nimbus Roman" w:hAnsi="Nimbus Roman" w:cs="Nimbus Roman"/>
          <w:b w:val="0"/>
          <w:bCs w:val="0"/>
          <w:color w:val="auto"/>
          <w:sz w:val="32"/>
          <w:szCs w:val="32"/>
          <w:highlight w:val="none"/>
          <w:lang w:val="en-US" w:eastAsia="zh-CN" w:bidi="zh-CN"/>
        </w:rPr>
        <w:t>内，</w:t>
      </w:r>
      <w:r>
        <w:rPr>
          <w:rFonts w:hint="default" w:ascii="Nimbus Roman" w:hAnsi="Nimbus Roman" w:eastAsia="仿宋_GB2312" w:cs="Nimbus Roman"/>
          <w:b w:val="0"/>
          <w:bCs w:val="0"/>
          <w:color w:val="auto"/>
          <w:sz w:val="32"/>
          <w:szCs w:val="32"/>
          <w:highlight w:val="none"/>
          <w:lang w:val="en-US" w:eastAsia="zh-CN" w:bidi="zh-CN"/>
        </w:rPr>
        <w:t>以中选规则获得</w:t>
      </w:r>
      <w:r>
        <w:rPr>
          <w:rFonts w:hint="default" w:ascii="Nimbus Roman" w:hAnsi="Nimbus Roman" w:eastAsia="仿宋_GB2312" w:cs="Nimbus Roman"/>
          <w:b w:val="0"/>
          <w:bCs w:val="0"/>
          <w:color w:val="auto"/>
          <w:highlight w:val="none"/>
          <w:lang w:val="en-US" w:eastAsia="zh-CN"/>
        </w:rPr>
        <w:t>拟中选</w:t>
      </w:r>
      <w:r>
        <w:rPr>
          <w:rFonts w:hint="default" w:ascii="Nimbus Roman" w:hAnsi="Nimbus Roman" w:cs="Nimbus Roman"/>
          <w:b w:val="0"/>
          <w:bCs w:val="0"/>
          <w:color w:val="auto"/>
          <w:highlight w:val="none"/>
          <w:lang w:val="en-US" w:eastAsia="zh-CN"/>
        </w:rPr>
        <w:t>资格</w:t>
      </w:r>
      <w:r>
        <w:rPr>
          <w:rFonts w:hint="default" w:ascii="Nimbus Roman" w:hAnsi="Nimbus Roman" w:eastAsia="仿宋_GB2312" w:cs="Nimbus Roman"/>
          <w:b w:val="0"/>
          <w:bCs w:val="0"/>
          <w:color w:val="auto"/>
          <w:sz w:val="32"/>
          <w:szCs w:val="32"/>
          <w:highlight w:val="none"/>
          <w:lang w:val="en-US" w:eastAsia="zh-CN" w:bidi="zh-CN"/>
        </w:rPr>
        <w:t>企业</w:t>
      </w:r>
      <w:r>
        <w:rPr>
          <w:rFonts w:hint="default" w:ascii="Nimbus Roman" w:hAnsi="Nimbus Roman" w:cs="Nimbus Roman"/>
          <w:b w:val="0"/>
          <w:bCs w:val="0"/>
          <w:color w:val="auto"/>
          <w:sz w:val="32"/>
          <w:szCs w:val="32"/>
          <w:highlight w:val="none"/>
          <w:lang w:val="en-US" w:eastAsia="zh-CN" w:bidi="zh-CN"/>
        </w:rPr>
        <w:t>的中选</w:t>
      </w:r>
      <w:r>
        <w:rPr>
          <w:rFonts w:hint="default" w:ascii="Nimbus Roman" w:hAnsi="Nimbus Roman" w:eastAsia="仿宋_GB2312" w:cs="Nimbus Roman"/>
          <w:b w:val="0"/>
          <w:bCs w:val="0"/>
          <w:color w:val="auto"/>
          <w:sz w:val="32"/>
          <w:szCs w:val="32"/>
          <w:highlight w:val="none"/>
          <w:lang w:val="en-US" w:eastAsia="zh-CN" w:bidi="zh-CN"/>
        </w:rPr>
        <w:t>均价向下浮动1个标准差</w:t>
      </w:r>
      <w:r>
        <w:rPr>
          <w:rFonts w:hint="default" w:ascii="Nimbus Roman" w:hAnsi="Nimbus Roman" w:cs="Nimbus Roman"/>
          <w:b w:val="0"/>
          <w:bCs w:val="0"/>
          <w:color w:val="auto"/>
          <w:sz w:val="32"/>
          <w:szCs w:val="32"/>
          <w:highlight w:val="none"/>
          <w:lang w:val="en-US" w:eastAsia="zh-CN" w:bidi="zh-CN"/>
        </w:rPr>
        <w:t>，</w:t>
      </w:r>
      <w:r>
        <w:rPr>
          <w:rFonts w:hint="default" w:ascii="Nimbus Roman" w:hAnsi="Nimbus Roman" w:eastAsia="仿宋_GB2312" w:cs="Nimbus Roman"/>
          <w:b w:val="0"/>
          <w:bCs w:val="0"/>
          <w:color w:val="auto"/>
          <w:sz w:val="32"/>
          <w:szCs w:val="32"/>
          <w:highlight w:val="none"/>
          <w:lang w:val="en-US" w:eastAsia="zh-CN" w:bidi="zh-CN"/>
        </w:rPr>
        <w:t>作为该竞价组的协议量锚点（四舍五入精确到小数点后两位）。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color w:val="auto"/>
          <w:lang w:val="en-US" w:eastAsia="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.2.2</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cs="Nimbus Roman"/>
          <w:b w:val="0"/>
          <w:bCs w:val="0"/>
          <w:color w:val="auto"/>
          <w:sz w:val="32"/>
          <w:szCs w:val="32"/>
          <w:highlight w:val="none"/>
          <w:lang w:val="en-US" w:eastAsia="zh-CN" w:bidi="zh-CN"/>
        </w:rPr>
        <w:t>基础量分配规则。按</w:t>
      </w:r>
      <w:r>
        <w:rPr>
          <w:rFonts w:hint="default" w:ascii="Nimbus Roman" w:hAnsi="Nimbus Roman" w:eastAsia="仿宋_GB2312" w:cs="Nimbus Roman"/>
          <w:b w:val="0"/>
          <w:bCs w:val="0"/>
          <w:color w:val="auto"/>
          <w:sz w:val="32"/>
          <w:szCs w:val="32"/>
          <w:highlight w:val="none"/>
          <w:lang w:val="en-US" w:eastAsia="zh-CN" w:bidi="zh-CN"/>
        </w:rPr>
        <w:t>中选规则获得</w:t>
      </w:r>
      <w:r>
        <w:rPr>
          <w:rFonts w:hint="default" w:ascii="Nimbus Roman" w:hAnsi="Nimbus Roman" w:eastAsia="仿宋_GB2312" w:cs="Nimbus Roman"/>
          <w:b w:val="0"/>
          <w:bCs w:val="0"/>
          <w:color w:val="auto"/>
          <w:highlight w:val="none"/>
          <w:lang w:val="en-US" w:eastAsia="zh-CN"/>
        </w:rPr>
        <w:t>拟中选</w:t>
      </w:r>
      <w:r>
        <w:rPr>
          <w:rFonts w:hint="default" w:ascii="Nimbus Roman" w:hAnsi="Nimbus Roman" w:cs="Nimbus Roman"/>
          <w:b w:val="0"/>
          <w:bCs w:val="0"/>
          <w:color w:val="auto"/>
          <w:highlight w:val="none"/>
          <w:lang w:val="en-US" w:eastAsia="zh-CN"/>
        </w:rPr>
        <w:t>资格的</w:t>
      </w:r>
      <w:r>
        <w:rPr>
          <w:rFonts w:hint="default" w:ascii="Nimbus Roman" w:hAnsi="Nimbus Roman" w:eastAsia="仿宋_GB2312" w:cs="Nimbus Roman"/>
          <w:b w:val="0"/>
          <w:bCs w:val="0"/>
          <w:color w:val="auto"/>
          <w:sz w:val="32"/>
          <w:szCs w:val="32"/>
          <w:highlight w:val="none"/>
          <w:lang w:val="en-US" w:eastAsia="zh-CN" w:bidi="zh-CN"/>
        </w:rPr>
        <w:t>企业，按以下规则顺序确定协议采购量</w:t>
      </w:r>
      <w:r>
        <w:rPr>
          <w:rFonts w:hint="default" w:ascii="Nimbus Roman" w:hAnsi="Nimbus Roman" w:cs="Nimbus Roman"/>
          <w:b w:val="0"/>
          <w:bCs w:val="0"/>
          <w:color w:val="auto"/>
          <w:sz w:val="32"/>
          <w:szCs w:val="32"/>
          <w:highlight w:val="none"/>
          <w:lang w:val="en-US" w:eastAsia="zh-CN" w:bidi="zh-CN"/>
        </w:rPr>
        <w:t>基础量：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sz w:val="32"/>
          <w:szCs w:val="32"/>
          <w:highlight w:val="none"/>
          <w:lang w:val="en-US" w:eastAsia="zh-CN" w:bidi="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.2.2.1</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cs="Nimbus Roman"/>
          <w:b w:val="0"/>
          <w:bCs w:val="0"/>
          <w:color w:val="auto"/>
          <w:sz w:val="32"/>
          <w:szCs w:val="32"/>
          <w:highlight w:val="none"/>
          <w:lang w:val="en-US" w:eastAsia="zh-CN" w:bidi="zh-CN"/>
        </w:rPr>
        <w:t>若中选价格不高于协议量锚点或中选价格由低至高排名前三，则该企业获得全部协议量；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.2.2.2</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中选价格高于协议量锚点，但不高于协议量锚点1.5倍的，该企业获得协议量的70%。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.2.2.3</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中选价格高于协议量锚点1.5倍的，该企业</w:t>
      </w:r>
      <w:r>
        <w:rPr>
          <w:rFonts w:hint="default" w:ascii="Nimbus Roman" w:hAnsi="Nimbus Roman" w:cs="Nimbus Roman"/>
          <w:b w:val="0"/>
          <w:bCs w:val="0"/>
          <w:color w:val="auto"/>
          <w:sz w:val="32"/>
          <w:szCs w:val="32"/>
          <w:highlight w:val="none"/>
          <w:lang w:val="en-US" w:eastAsia="zh-CN" w:bidi="zh-CN"/>
        </w:rPr>
        <w:t>获得</w:t>
      </w:r>
      <w:r>
        <w:rPr>
          <w:rFonts w:hint="default" w:ascii="Nimbus Roman" w:hAnsi="Nimbus Roman" w:eastAsia="仿宋_GB2312" w:cs="Nimbus Roman"/>
          <w:b w:val="0"/>
          <w:bCs w:val="0"/>
          <w:color w:val="auto"/>
          <w:sz w:val="32"/>
          <w:szCs w:val="32"/>
          <w:highlight w:val="none"/>
          <w:lang w:val="en-US" w:eastAsia="zh-CN" w:bidi="zh-CN"/>
        </w:rPr>
        <w:t>协议量的50%；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sz w:val="32"/>
          <w:szCs w:val="32"/>
          <w:highlight w:val="none"/>
          <w:lang w:val="en-US" w:eastAsia="zh-CN" w:bidi="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.2.3</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按复活规则获取</w:t>
      </w:r>
      <w:r>
        <w:rPr>
          <w:rFonts w:hint="default" w:ascii="Nimbus Roman" w:hAnsi="Nimbus Roman" w:eastAsia="仿宋_GB2312" w:cs="Nimbus Roman"/>
          <w:b w:val="0"/>
          <w:bCs w:val="0"/>
          <w:color w:val="auto"/>
          <w:highlight w:val="none"/>
          <w:lang w:val="en-US" w:eastAsia="zh-CN"/>
        </w:rPr>
        <w:t>拟中选</w:t>
      </w:r>
      <w:r>
        <w:rPr>
          <w:rFonts w:hint="default" w:ascii="Nimbus Roman" w:hAnsi="Nimbus Roman" w:cs="Nimbus Roman"/>
          <w:b w:val="0"/>
          <w:bCs w:val="0"/>
          <w:color w:val="auto"/>
          <w:highlight w:val="none"/>
          <w:lang w:val="en-US" w:eastAsia="zh-CN"/>
        </w:rPr>
        <w:t>资格的</w:t>
      </w:r>
      <w:r>
        <w:rPr>
          <w:rFonts w:hint="default" w:ascii="Nimbus Roman" w:hAnsi="Nimbus Roman" w:eastAsia="仿宋_GB2312" w:cs="Nimbus Roman"/>
          <w:b w:val="0"/>
          <w:bCs w:val="0"/>
          <w:color w:val="auto"/>
          <w:sz w:val="32"/>
          <w:szCs w:val="32"/>
          <w:highlight w:val="none"/>
          <w:lang w:val="en-US" w:eastAsia="zh-CN" w:bidi="zh-CN"/>
        </w:rPr>
        <w:t>企业，</w:t>
      </w:r>
      <w:r>
        <w:rPr>
          <w:rFonts w:hint="default" w:ascii="Nimbus Roman" w:hAnsi="Nimbus Roman" w:cs="Nimbus Roman"/>
          <w:b w:val="0"/>
          <w:bCs w:val="0"/>
          <w:color w:val="auto"/>
          <w:sz w:val="32"/>
          <w:szCs w:val="32"/>
          <w:highlight w:val="none"/>
          <w:lang w:val="en-US" w:eastAsia="zh-CN" w:bidi="zh-CN"/>
        </w:rPr>
        <w:t>在协议采购量基础量分配阶段不获得协议采购量。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sz w:val="32"/>
          <w:szCs w:val="32"/>
          <w:highlight w:val="none"/>
          <w:lang w:val="en-US" w:eastAsia="zh-CN" w:bidi="zh-CN"/>
        </w:rPr>
      </w:pPr>
      <w:r>
        <w:rPr>
          <w:rFonts w:hint="default" w:ascii="Nimbus Roman" w:hAnsi="Nimbus Roman" w:eastAsia="仿宋_GB2312" w:cs="Nimbus Roman"/>
          <w:b w:val="0"/>
          <w:bCs w:val="0"/>
          <w:color w:val="auto"/>
          <w:sz w:val="32"/>
          <w:szCs w:val="32"/>
          <w:highlight w:val="none"/>
          <w:lang w:val="en-US" w:eastAsia="zh-CN" w:bidi="zh-CN"/>
        </w:rPr>
        <w:t>2.</w:t>
      </w:r>
      <w:r>
        <w:rPr>
          <w:rFonts w:hint="eastAsia" w:ascii="Nimbus Roman" w:hAnsi="Nimbus Roman" w:eastAsia="仿宋_GB2312" w:cs="Nimbus Roman"/>
          <w:b w:val="0"/>
          <w:bCs w:val="0"/>
          <w:color w:val="auto"/>
          <w:sz w:val="32"/>
          <w:szCs w:val="32"/>
          <w:highlight w:val="none"/>
          <w:lang w:val="en-US" w:eastAsia="zh-CN" w:bidi="zh-CN"/>
        </w:rPr>
        <w:t>9</w:t>
      </w:r>
      <w:r>
        <w:rPr>
          <w:rFonts w:hint="default" w:ascii="Nimbus Roman" w:hAnsi="Nimbus Roman" w:eastAsia="仿宋_GB2312" w:cs="Nimbus Roman"/>
          <w:b w:val="0"/>
          <w:bCs w:val="0"/>
          <w:color w:val="auto"/>
          <w:sz w:val="32"/>
          <w:szCs w:val="32"/>
          <w:highlight w:val="none"/>
          <w:lang w:val="en-US" w:eastAsia="zh-CN" w:bidi="zh-CN"/>
        </w:rPr>
        <w:t>.3</w:t>
      </w:r>
      <w:r>
        <w:rPr>
          <w:rFonts w:hint="eastAsia" w:ascii="Nimbus Roman" w:hAnsi="Nimbus Roman" w:eastAsia="仿宋_GB2312" w:cs="Nimbus Roman"/>
          <w:b w:val="0"/>
          <w:bCs w:val="0"/>
          <w:color w:val="auto"/>
          <w:sz w:val="32"/>
          <w:szCs w:val="32"/>
          <w:highlight w:val="none"/>
          <w:lang w:val="en-US" w:eastAsia="zh-CN" w:bidi="zh-CN"/>
        </w:rPr>
        <w:t xml:space="preserve"> </w:t>
      </w:r>
      <w:r>
        <w:rPr>
          <w:rFonts w:hint="default" w:ascii="Nimbus Roman" w:hAnsi="Nimbus Roman" w:eastAsia="仿宋_GB2312" w:cs="Nimbus Roman"/>
          <w:b w:val="0"/>
          <w:bCs w:val="0"/>
          <w:color w:val="auto"/>
          <w:sz w:val="32"/>
          <w:szCs w:val="32"/>
          <w:highlight w:val="none"/>
          <w:lang w:val="en-US" w:eastAsia="zh-CN" w:bidi="zh-CN"/>
        </w:rPr>
        <w:t>协议采购量剩余量分配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sz w:val="32"/>
          <w:szCs w:val="32"/>
          <w:highlight w:val="none"/>
          <w:lang w:val="en-US" w:eastAsia="zh-CN" w:bidi="zh-CN"/>
        </w:rPr>
      </w:pPr>
      <w:r>
        <w:rPr>
          <w:rFonts w:hint="default" w:ascii="Nimbus Roman" w:hAnsi="Nimbus Roman" w:cs="Nimbus Roman"/>
          <w:b w:val="0"/>
          <w:bCs w:val="0"/>
          <w:color w:val="auto"/>
          <w:sz w:val="32"/>
          <w:szCs w:val="32"/>
          <w:highlight w:val="none"/>
          <w:lang w:val="en-US" w:eastAsia="zh-CN" w:bidi="zh-CN"/>
        </w:rPr>
        <w:t>2.</w:t>
      </w:r>
      <w:r>
        <w:rPr>
          <w:rFonts w:hint="eastAsia" w:ascii="Nimbus Roman" w:hAnsi="Nimbus Roman" w:cs="Nimbus Roman"/>
          <w:b w:val="0"/>
          <w:bCs w:val="0"/>
          <w:color w:val="auto"/>
          <w:sz w:val="32"/>
          <w:szCs w:val="32"/>
          <w:highlight w:val="none"/>
          <w:lang w:val="en-US" w:eastAsia="zh-CN" w:bidi="zh-CN"/>
        </w:rPr>
        <w:t>9</w:t>
      </w:r>
      <w:r>
        <w:rPr>
          <w:rFonts w:hint="default" w:ascii="Nimbus Roman" w:hAnsi="Nimbus Roman" w:cs="Nimbus Roman"/>
          <w:b w:val="0"/>
          <w:bCs w:val="0"/>
          <w:color w:val="auto"/>
          <w:sz w:val="32"/>
          <w:szCs w:val="32"/>
          <w:highlight w:val="none"/>
          <w:lang w:val="en-US" w:eastAsia="zh-CN" w:bidi="zh-CN"/>
        </w:rPr>
        <w:t>.3.1</w:t>
      </w:r>
      <w:r>
        <w:rPr>
          <w:rFonts w:hint="eastAsia" w:ascii="Nimbus Roman" w:hAnsi="Nimbus Roman" w:cs="Nimbus Roman"/>
          <w:b w:val="0"/>
          <w:bCs w:val="0"/>
          <w:color w:val="auto"/>
          <w:sz w:val="32"/>
          <w:szCs w:val="32"/>
          <w:highlight w:val="none"/>
          <w:lang w:val="en-US" w:eastAsia="zh-CN" w:bidi="zh-CN"/>
        </w:rPr>
        <w:t xml:space="preserve"> </w:t>
      </w:r>
      <w:r>
        <w:rPr>
          <w:rFonts w:hint="default" w:ascii="Nimbus Roman" w:hAnsi="Nimbus Roman" w:cs="Nimbus Roman"/>
          <w:b w:val="0"/>
          <w:bCs w:val="0"/>
          <w:color w:val="auto"/>
          <w:sz w:val="32"/>
          <w:szCs w:val="32"/>
          <w:highlight w:val="none"/>
          <w:lang w:val="en-US" w:eastAsia="zh-CN" w:bidi="zh-CN"/>
        </w:rPr>
        <w:t>协议采购量剩余量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sz w:val="32"/>
          <w:szCs w:val="32"/>
          <w:highlight w:val="none"/>
          <w:lang w:val="en-US" w:eastAsia="zh-CN" w:bidi="zh-CN"/>
        </w:rPr>
        <w:t>协议采购量剩余量=</w:t>
      </w:r>
      <w:r>
        <w:rPr>
          <w:rFonts w:hint="default" w:ascii="Nimbus Roman" w:hAnsi="Nimbus Roman" w:eastAsia="仿宋_GB2312" w:cs="Nimbus Roman"/>
          <w:b w:val="0"/>
          <w:bCs w:val="0"/>
          <w:color w:val="auto"/>
          <w:highlight w:val="none"/>
          <w:lang w:val="en-US" w:eastAsia="zh-CN"/>
        </w:rPr>
        <w:t>医疗机构报量但未中选企业产品协议采购量+医疗机构报量但企业</w:t>
      </w:r>
      <w:r>
        <w:rPr>
          <w:rFonts w:hint="default" w:ascii="Nimbus Roman" w:hAnsi="Nimbus Roman" w:cs="Nimbus Roman"/>
          <w:b w:val="0"/>
          <w:bCs w:val="0"/>
          <w:color w:val="auto"/>
          <w:highlight w:val="none"/>
          <w:lang w:val="en-US" w:eastAsia="zh-CN"/>
        </w:rPr>
        <w:t>未申报</w:t>
      </w:r>
      <w:r>
        <w:rPr>
          <w:rFonts w:hint="default" w:ascii="Nimbus Roman" w:hAnsi="Nimbus Roman" w:eastAsia="仿宋_GB2312" w:cs="Nimbus Roman"/>
          <w:b w:val="0"/>
          <w:bCs w:val="0"/>
          <w:color w:val="auto"/>
          <w:highlight w:val="none"/>
          <w:lang w:val="en-US" w:eastAsia="zh-CN"/>
        </w:rPr>
        <w:t>产品协议采购量</w:t>
      </w:r>
      <w:r>
        <w:rPr>
          <w:rFonts w:hint="default" w:ascii="Nimbus Roman" w:hAnsi="Nimbus Roman" w:cs="Nimbus Roman"/>
          <w:b w:val="0"/>
          <w:bCs w:val="0"/>
          <w:color w:val="auto"/>
          <w:highlight w:val="none"/>
          <w:lang w:val="en-US" w:eastAsia="zh-CN"/>
        </w:rPr>
        <w:t>+</w:t>
      </w:r>
      <w:r>
        <w:rPr>
          <w:rFonts w:hint="default" w:ascii="Nimbus Roman" w:hAnsi="Nimbus Roman" w:cs="Nimbus Roman"/>
          <w:b w:val="0"/>
          <w:bCs w:val="0"/>
          <w:color w:val="auto"/>
          <w:sz w:val="32"/>
          <w:szCs w:val="32"/>
          <w:highlight w:val="none"/>
          <w:lang w:val="en-US" w:eastAsia="zh-CN" w:bidi="zh-CN"/>
        </w:rPr>
        <w:t>基础量分配阶段企业</w:t>
      </w:r>
      <w:r>
        <w:rPr>
          <w:rFonts w:hint="default" w:ascii="Nimbus Roman" w:hAnsi="Nimbus Roman" w:eastAsia="仿宋_GB2312" w:cs="Nimbus Roman"/>
          <w:b w:val="0"/>
          <w:i w:val="0"/>
          <w:color w:val="auto"/>
          <w:kern w:val="2"/>
          <w:sz w:val="32"/>
          <w:szCs w:val="32"/>
          <w:lang w:val="en-US" w:eastAsia="zh-CN" w:bidi="ar-SA"/>
        </w:rPr>
        <w:t>未获取的</w:t>
      </w:r>
      <w:r>
        <w:rPr>
          <w:rFonts w:hint="default" w:ascii="Nimbus Roman" w:hAnsi="Nimbus Roman" w:eastAsia="仿宋_GB2312" w:cs="Nimbus Roman"/>
          <w:b w:val="0"/>
          <w:bCs w:val="0"/>
          <w:color w:val="auto"/>
          <w:highlight w:val="none"/>
          <w:lang w:val="en-US" w:eastAsia="zh-CN"/>
        </w:rPr>
        <w:t>协议采购量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9</w:t>
      </w:r>
      <w:r>
        <w:rPr>
          <w:rFonts w:hint="default" w:ascii="Nimbus Roman" w:hAnsi="Nimbus Roman" w:cs="Nimbus Roman"/>
          <w:b w:val="0"/>
          <w:bCs w:val="0"/>
          <w:color w:val="auto"/>
          <w:highlight w:val="none"/>
          <w:lang w:val="en-US" w:eastAsia="zh-CN"/>
        </w:rPr>
        <w:t>.3.2</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协议采购量剩余量分配规则</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color w:val="auto"/>
          <w:szCs w:val="32"/>
          <w:highlight w:val="none"/>
          <w:lang w:val="en-US" w:eastAsia="zh-CN"/>
        </w:rPr>
        <w:t>2.</w:t>
      </w:r>
      <w:r>
        <w:rPr>
          <w:rFonts w:hint="eastAsia" w:ascii="Nimbus Roman" w:hAnsi="Nimbus Roman" w:cs="Nimbus Roman"/>
          <w:b w:val="0"/>
          <w:color w:val="auto"/>
          <w:szCs w:val="32"/>
          <w:highlight w:val="none"/>
          <w:lang w:val="en-US" w:eastAsia="zh-CN"/>
        </w:rPr>
        <w:t>9</w:t>
      </w:r>
      <w:r>
        <w:rPr>
          <w:rFonts w:hint="default" w:ascii="Nimbus Roman" w:hAnsi="Nimbus Roman" w:cs="Nimbus Roman"/>
          <w:b w:val="0"/>
          <w:color w:val="auto"/>
          <w:szCs w:val="32"/>
          <w:highlight w:val="none"/>
          <w:lang w:val="en-US" w:eastAsia="zh-CN"/>
        </w:rPr>
        <w:t>.3.2.1</w:t>
      </w:r>
      <w:r>
        <w:rPr>
          <w:rFonts w:hint="eastAsia" w:ascii="Nimbus Roman" w:hAnsi="Nimbus Roman" w:cs="Nimbus Roman"/>
          <w:b w:val="0"/>
          <w:color w:val="auto"/>
          <w:szCs w:val="32"/>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除触发价格纠偏的中选产品外，</w:t>
      </w:r>
      <w:r>
        <w:rPr>
          <w:rFonts w:hint="default" w:ascii="Nimbus Roman" w:hAnsi="Nimbus Roman" w:cs="Nimbus Roman"/>
          <w:b w:val="0"/>
          <w:bCs w:val="0"/>
          <w:color w:val="auto"/>
          <w:highlight w:val="none"/>
          <w:lang w:val="en-US" w:eastAsia="zh-CN"/>
        </w:rPr>
        <w:t>按</w:t>
      </w:r>
      <w:r>
        <w:rPr>
          <w:rFonts w:hint="default" w:ascii="Nimbus Roman" w:hAnsi="Nimbus Roman" w:eastAsia="仿宋_GB2312" w:cs="Nimbus Roman"/>
          <w:b w:val="0"/>
          <w:bCs w:val="0"/>
          <w:color w:val="auto"/>
          <w:highlight w:val="none"/>
          <w:lang w:val="en-US" w:eastAsia="zh-CN"/>
        </w:rPr>
        <w:t>中选规则获得</w:t>
      </w:r>
      <w:r>
        <w:rPr>
          <w:rFonts w:hint="default" w:ascii="Nimbus Roman" w:hAnsi="Nimbus Roman" w:cs="Nimbus Roman"/>
          <w:b w:val="0"/>
          <w:bCs w:val="0"/>
          <w:color w:val="auto"/>
          <w:highlight w:val="none"/>
          <w:lang w:val="en-US" w:eastAsia="zh-CN"/>
        </w:rPr>
        <w:t>拟</w:t>
      </w:r>
      <w:r>
        <w:rPr>
          <w:rFonts w:hint="default" w:ascii="Nimbus Roman" w:hAnsi="Nimbus Roman" w:eastAsia="仿宋_GB2312" w:cs="Nimbus Roman"/>
          <w:b w:val="0"/>
          <w:bCs w:val="0"/>
          <w:color w:val="auto"/>
          <w:highlight w:val="none"/>
          <w:lang w:val="en-US" w:eastAsia="zh-CN"/>
        </w:rPr>
        <w:t>中选资格的企业产品均可参与协议采购量</w:t>
      </w:r>
      <w:r>
        <w:rPr>
          <w:rFonts w:hint="default" w:ascii="Nimbus Roman" w:hAnsi="Nimbus Roman" w:cs="Nimbus Roman"/>
          <w:b w:val="0"/>
          <w:bCs w:val="0"/>
          <w:color w:val="auto"/>
          <w:highlight w:val="none"/>
          <w:lang w:val="en-US" w:eastAsia="zh-CN"/>
        </w:rPr>
        <w:t>剩余量</w:t>
      </w:r>
      <w:r>
        <w:rPr>
          <w:rFonts w:hint="default" w:ascii="Nimbus Roman" w:hAnsi="Nimbus Roman" w:eastAsia="仿宋_GB2312" w:cs="Nimbus Roman"/>
          <w:b w:val="0"/>
          <w:bCs w:val="0"/>
          <w:color w:val="auto"/>
          <w:highlight w:val="none"/>
          <w:lang w:val="en-US" w:eastAsia="zh-CN"/>
        </w:rPr>
        <w:t>分配</w:t>
      </w:r>
      <w:r>
        <w:rPr>
          <w:rFonts w:hint="default" w:ascii="Nimbus Roman" w:hAnsi="Nimbus Roman" w:cs="Nimbus Roman"/>
          <w:b w:val="0"/>
          <w:bCs w:val="0"/>
          <w:color w:val="auto"/>
          <w:highlight w:val="none"/>
          <w:lang w:val="en-US" w:eastAsia="zh-CN"/>
        </w:rPr>
        <w:t>，由医疗机构自主选择</w:t>
      </w:r>
      <w:r>
        <w:rPr>
          <w:rFonts w:hint="default" w:ascii="Nimbus Roman" w:hAnsi="Nimbus Roman" w:eastAsia="仿宋_GB2312" w:cs="Nimbus Roman"/>
          <w:b w:val="0"/>
          <w:bCs w:val="0"/>
          <w:color w:val="auto"/>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楷体_GB2312" w:cs="Nimbus Roman"/>
          <w:b w:val="0"/>
          <w:bCs w:val="0"/>
          <w:color w:val="auto"/>
          <w:sz w:val="32"/>
          <w:szCs w:val="32"/>
          <w:highlight w:val="none"/>
          <w:lang w:val="en-US" w:eastAsia="zh-CN" w:bidi="zh-CN"/>
        </w:rPr>
      </w:pPr>
      <w:r>
        <w:rPr>
          <w:rFonts w:hint="default" w:ascii="Nimbus Roman" w:hAnsi="Nimbus Roman" w:cs="Nimbus Roman"/>
          <w:b w:val="0"/>
          <w:color w:val="auto"/>
          <w:szCs w:val="32"/>
          <w:highlight w:val="none"/>
          <w:lang w:val="en-US" w:eastAsia="zh-CN"/>
        </w:rPr>
        <w:t>2.</w:t>
      </w:r>
      <w:r>
        <w:rPr>
          <w:rFonts w:hint="eastAsia" w:ascii="Nimbus Roman" w:hAnsi="Nimbus Roman" w:cs="Nimbus Roman"/>
          <w:b w:val="0"/>
          <w:color w:val="auto"/>
          <w:szCs w:val="32"/>
          <w:highlight w:val="none"/>
          <w:lang w:val="en-US" w:eastAsia="zh-CN"/>
        </w:rPr>
        <w:t>9</w:t>
      </w:r>
      <w:r>
        <w:rPr>
          <w:rFonts w:hint="default" w:ascii="Nimbus Roman" w:hAnsi="Nimbus Roman" w:cs="Nimbus Roman"/>
          <w:b w:val="0"/>
          <w:color w:val="auto"/>
          <w:szCs w:val="32"/>
          <w:highlight w:val="none"/>
          <w:lang w:val="en-US" w:eastAsia="zh-CN"/>
        </w:rPr>
        <w:t>.3.2.2</w:t>
      </w:r>
      <w:r>
        <w:rPr>
          <w:rFonts w:hint="eastAsia" w:ascii="Nimbus Roman" w:hAnsi="Nimbus Roman" w:cs="Nimbus Roman"/>
          <w:b w:val="0"/>
          <w:color w:val="auto"/>
          <w:szCs w:val="32"/>
          <w:highlight w:val="none"/>
          <w:lang w:val="en-US" w:eastAsia="zh-CN"/>
        </w:rPr>
        <w:t xml:space="preserve"> </w:t>
      </w:r>
      <w:r>
        <w:rPr>
          <w:rFonts w:hint="default" w:ascii="Nimbus Roman" w:hAnsi="Nimbus Roman" w:cs="Nimbus Roman"/>
          <w:b w:val="0"/>
          <w:bCs w:val="0"/>
          <w:color w:val="auto"/>
          <w:highlight w:val="none"/>
          <w:lang w:val="en-US" w:eastAsia="zh-CN"/>
        </w:rPr>
        <w:t>在剩余量分配阶段，医疗机构也可以选择既往填报过需求量且</w:t>
      </w:r>
      <w:r>
        <w:rPr>
          <w:rFonts w:hint="default" w:ascii="Nimbus Roman" w:hAnsi="Nimbus Roman" w:cs="Nimbus Roman"/>
          <w:color w:val="auto"/>
          <w:highlight w:val="none"/>
          <w:lang w:val="en-US"/>
        </w:rPr>
        <w:t>以复活规则获得拟中选资格的企业产品</w:t>
      </w:r>
      <w:r>
        <w:rPr>
          <w:rFonts w:hint="default" w:ascii="Nimbus Roman" w:hAnsi="Nimbus Roman" w:cs="Nimbus Roman"/>
          <w:b w:val="0"/>
          <w:bCs w:val="0"/>
          <w:color w:val="auto"/>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highlight w:val="none"/>
          <w:lang w:val="en-US" w:eastAsia="zh-CN"/>
        </w:rPr>
      </w:pPr>
      <w:r>
        <w:rPr>
          <w:rFonts w:hint="default" w:ascii="Nimbus Roman" w:hAnsi="Nimbus Roman" w:cs="Nimbus Roman"/>
          <w:b w:val="0"/>
          <w:color w:val="auto"/>
          <w:szCs w:val="32"/>
          <w:highlight w:val="none"/>
          <w:lang w:val="en-US" w:eastAsia="zh-CN"/>
        </w:rPr>
        <w:t>2.</w:t>
      </w:r>
      <w:r>
        <w:rPr>
          <w:rFonts w:hint="eastAsia" w:ascii="Nimbus Roman" w:hAnsi="Nimbus Roman" w:cs="Nimbus Roman"/>
          <w:b w:val="0"/>
          <w:color w:val="auto"/>
          <w:szCs w:val="32"/>
          <w:highlight w:val="none"/>
          <w:lang w:val="en-US" w:eastAsia="zh-CN"/>
        </w:rPr>
        <w:t>9</w:t>
      </w:r>
      <w:r>
        <w:rPr>
          <w:rFonts w:hint="default" w:ascii="Nimbus Roman" w:hAnsi="Nimbus Roman" w:cs="Nimbus Roman"/>
          <w:b w:val="0"/>
          <w:color w:val="auto"/>
          <w:szCs w:val="32"/>
          <w:highlight w:val="none"/>
          <w:lang w:val="en-US" w:eastAsia="zh-CN"/>
        </w:rPr>
        <w:t>.3.2.3</w:t>
      </w:r>
      <w:r>
        <w:rPr>
          <w:rFonts w:hint="eastAsia" w:ascii="Nimbus Roman" w:hAnsi="Nimbus Roman" w:cs="Nimbus Roman"/>
          <w:b w:val="0"/>
          <w:color w:val="auto"/>
          <w:szCs w:val="32"/>
          <w:highlight w:val="none"/>
          <w:lang w:val="en-US" w:eastAsia="zh-CN"/>
        </w:rPr>
        <w:t xml:space="preserve"> </w:t>
      </w:r>
      <w:r>
        <w:rPr>
          <w:rFonts w:hint="default" w:ascii="Nimbus Roman" w:hAnsi="Nimbus Roman" w:cs="Nimbus Roman"/>
          <w:b w:val="0"/>
          <w:bCs w:val="0"/>
          <w:color w:val="auto"/>
          <w:highlight w:val="none"/>
          <w:lang w:val="en-US" w:eastAsia="zh-CN"/>
        </w:rPr>
        <w:t>在剩余量分配阶段，如医疗机构确有需求，允许新增协议采购量；如医疗机构既往填报过的所有企业均未中选，允许放弃协议采购量。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9</w:t>
      </w:r>
      <w:r>
        <w:rPr>
          <w:rFonts w:hint="default" w:ascii="Nimbus Roman" w:hAnsi="Nimbus Roman" w:cs="Nimbus Roman"/>
          <w:b w:val="0"/>
          <w:bCs w:val="0"/>
          <w:color w:val="auto"/>
          <w:highlight w:val="none"/>
          <w:lang w:val="en-US" w:eastAsia="zh-CN"/>
        </w:rPr>
        <w:t>.4</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协议采购量确认</w:t>
      </w:r>
    </w:p>
    <w:p>
      <w:pPr>
        <w:widowControl/>
        <w:numPr>
          <w:ilvl w:val="0"/>
          <w:numId w:val="0"/>
        </w:numPr>
        <w:autoSpaceDE/>
        <w:autoSpaceDN/>
        <w:spacing w:line="576" w:lineRule="exact"/>
        <w:ind w:firstLine="640" w:firstLineChars="200"/>
        <w:jc w:val="both"/>
        <w:outlineLvl w:val="2"/>
        <w:rPr>
          <w:rFonts w:hint="default" w:ascii="Nimbus Roman" w:hAnsi="Nimbus Roman" w:cs="Nimbus Roman"/>
          <w:color w:val="auto"/>
        </w:rPr>
      </w:pPr>
      <w:r>
        <w:rPr>
          <w:rFonts w:hint="default" w:ascii="Nimbus Roman" w:hAnsi="Nimbus Roman" w:cs="Nimbus Roman"/>
          <w:b w:val="0"/>
          <w:bCs w:val="0"/>
          <w:color w:val="auto"/>
          <w:highlight w:val="none"/>
          <w:lang w:val="en-US" w:eastAsia="zh-CN"/>
        </w:rPr>
        <w:t>医疗机构协议采购量=</w:t>
      </w:r>
      <w:r>
        <w:rPr>
          <w:rFonts w:hint="default" w:ascii="Nimbus Roman" w:hAnsi="Nimbus Roman" w:eastAsia="仿宋_GB2312" w:cs="Nimbus Roman"/>
          <w:b w:val="0"/>
          <w:bCs w:val="0"/>
          <w:color w:val="auto"/>
          <w:highlight w:val="none"/>
          <w:lang w:val="en-US" w:eastAsia="zh-CN"/>
        </w:rPr>
        <w:t>已报量中选企业产品协议采购量</w:t>
      </w:r>
      <w:r>
        <w:rPr>
          <w:rFonts w:hint="default" w:ascii="Nimbus Roman" w:hAnsi="Nimbus Roman" w:cs="Nimbus Roman"/>
          <w:b w:val="0"/>
          <w:bCs w:val="0"/>
          <w:color w:val="auto"/>
          <w:highlight w:val="none"/>
          <w:lang w:val="en-US" w:eastAsia="zh-CN"/>
        </w:rPr>
        <w:t>基础量</w:t>
      </w:r>
      <w:r>
        <w:rPr>
          <w:rFonts w:hint="default" w:ascii="Nimbus Roman" w:hAnsi="Nimbus Roman" w:eastAsia="仿宋_GB2312" w:cs="Nimbus Roman"/>
          <w:b w:val="0"/>
          <w:bCs w:val="0"/>
          <w:color w:val="auto"/>
          <w:highlight w:val="none"/>
          <w:lang w:val="en-US" w:eastAsia="zh-CN"/>
        </w:rPr>
        <w:t>+医疗机构</w:t>
      </w:r>
      <w:r>
        <w:rPr>
          <w:rFonts w:hint="default" w:ascii="Nimbus Roman" w:hAnsi="Nimbus Roman" w:cs="Nimbus Roman"/>
          <w:b w:val="0"/>
          <w:bCs w:val="0"/>
          <w:color w:val="auto"/>
          <w:highlight w:val="none"/>
          <w:lang w:val="en-US" w:eastAsia="zh-CN"/>
        </w:rPr>
        <w:t>确认的</w:t>
      </w:r>
      <w:r>
        <w:rPr>
          <w:rFonts w:hint="default" w:ascii="Nimbus Roman" w:hAnsi="Nimbus Roman" w:eastAsia="仿宋_GB2312" w:cs="Nimbus Roman"/>
          <w:b w:val="0"/>
          <w:bCs w:val="0"/>
          <w:color w:val="auto"/>
          <w:highlight w:val="none"/>
          <w:lang w:val="en-US" w:eastAsia="zh-CN"/>
        </w:rPr>
        <w:t>协议采购量</w:t>
      </w:r>
      <w:r>
        <w:rPr>
          <w:rFonts w:hint="default" w:ascii="Nimbus Roman" w:hAnsi="Nimbus Roman" w:cs="Nimbus Roman"/>
          <w:b w:val="0"/>
          <w:bCs w:val="0"/>
          <w:color w:val="auto"/>
          <w:highlight w:val="none"/>
          <w:lang w:val="en-US" w:eastAsia="zh-CN"/>
        </w:rPr>
        <w:t>剩余量+医疗机构新增的协议采购量</w:t>
      </w:r>
      <w:r>
        <w:rPr>
          <w:rFonts w:hint="default" w:ascii="Nimbus Roman" w:hAnsi="Nimbus Roman" w:eastAsia="仿宋_GB2312" w:cs="Nimbus Roman"/>
          <w:b w:val="0"/>
          <w:bCs w:val="0"/>
          <w:color w:val="auto"/>
          <w:highlight w:val="none"/>
          <w:lang w:val="en-US" w:eastAsia="zh-CN"/>
        </w:rPr>
        <w:t>。</w:t>
      </w:r>
    </w:p>
    <w:bookmarkEnd w:id="248"/>
    <w:bookmarkEnd w:id="335"/>
    <w:bookmarkEnd w:id="336"/>
    <w:bookmarkEnd w:id="337"/>
    <w:bookmarkEnd w:id="338"/>
    <w:p>
      <w:pPr>
        <w:keepNext w:val="0"/>
        <w:keepLines w:val="0"/>
        <w:pageBreakBefore w:val="0"/>
        <w:widowControl w:val="0"/>
        <w:numPr>
          <w:ilvl w:val="0"/>
          <w:numId w:val="0"/>
        </w:numPr>
        <w:kinsoku/>
        <w:wordWrap/>
        <w:overflowPunct/>
        <w:topLinePunct w:val="0"/>
        <w:autoSpaceDE w:val="0"/>
        <w:autoSpaceDN w:val="0"/>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sz w:val="32"/>
          <w:szCs w:val="32"/>
          <w:lang w:val="en-US" w:eastAsia="zh-CN" w:bidi="zh-CN"/>
        </w:rPr>
      </w:pPr>
      <w:bookmarkStart w:id="339" w:name="_Toc10973"/>
      <w:bookmarkStart w:id="340" w:name="_Toc11942"/>
      <w:bookmarkStart w:id="341" w:name="_Toc7947"/>
      <w:bookmarkStart w:id="342" w:name="_Toc1524"/>
      <w:bookmarkStart w:id="343" w:name="_Toc17919"/>
      <w:r>
        <w:rPr>
          <w:rFonts w:hint="default" w:ascii="Nimbus Roman" w:hAnsi="Nimbus Roman" w:eastAsia="黑体" w:cs="Nimbus Roman"/>
          <w:b w:val="0"/>
          <w:bCs w:val="0"/>
          <w:color w:val="auto"/>
          <w:sz w:val="32"/>
          <w:szCs w:val="32"/>
          <w:lang w:val="en-US" w:eastAsia="zh-CN" w:bidi="zh-CN"/>
        </w:rPr>
        <w:t>2.</w:t>
      </w:r>
      <w:r>
        <w:rPr>
          <w:rFonts w:hint="eastAsia" w:ascii="Nimbus Roman" w:hAnsi="Nimbus Roman" w:eastAsia="黑体" w:cs="Nimbus Roman"/>
          <w:b w:val="0"/>
          <w:bCs w:val="0"/>
          <w:color w:val="auto"/>
          <w:sz w:val="32"/>
          <w:szCs w:val="32"/>
          <w:lang w:val="en-US" w:eastAsia="zh-CN" w:bidi="zh-CN"/>
        </w:rPr>
        <w:t xml:space="preserve">10 </w:t>
      </w:r>
      <w:r>
        <w:rPr>
          <w:rFonts w:hint="default" w:ascii="Nimbus Roman" w:hAnsi="Nimbus Roman" w:eastAsia="黑体" w:cs="Nimbus Roman"/>
          <w:b w:val="0"/>
          <w:bCs w:val="0"/>
          <w:color w:val="auto"/>
          <w:sz w:val="32"/>
          <w:szCs w:val="32"/>
          <w:lang w:val="en-US" w:eastAsia="zh-CN" w:bidi="zh-CN"/>
        </w:rPr>
        <w:t>采购协议签订</w:t>
      </w:r>
      <w:bookmarkEnd w:id="339"/>
      <w:bookmarkEnd w:id="340"/>
      <w:bookmarkEnd w:id="341"/>
      <w:bookmarkEnd w:id="342"/>
      <w:r>
        <w:rPr>
          <w:rFonts w:hint="default" w:ascii="Nimbus Roman" w:hAnsi="Nimbus Roman" w:eastAsia="黑体" w:cs="Nimbus Roman"/>
          <w:b w:val="0"/>
          <w:bCs w:val="0"/>
          <w:color w:val="auto"/>
          <w:sz w:val="32"/>
          <w:szCs w:val="32"/>
          <w:lang w:val="en-US" w:eastAsia="zh-CN" w:bidi="zh-CN"/>
        </w:rPr>
        <w:t>及履行</w:t>
      </w:r>
      <w:bookmarkEnd w:id="343"/>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44" w:name="_Toc16709"/>
      <w:bookmarkStart w:id="345" w:name="_Toc6709"/>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10</w:t>
      </w:r>
      <w:r>
        <w:rPr>
          <w:rFonts w:hint="default" w:ascii="Nimbus Roman" w:hAnsi="Nimbus Roman"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本次集中带量采购结果产生后，执行文件由联盟各成员单位印发，各地区医疗机构采购使用及货款结算等相关规定详见执行文件。</w:t>
      </w:r>
      <w:bookmarkEnd w:id="344"/>
      <w:bookmarkEnd w:id="34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46" w:name="_Toc15893"/>
      <w:bookmarkStart w:id="347" w:name="_Toc9315"/>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0</w:t>
      </w:r>
      <w:r>
        <w:rPr>
          <w:rFonts w:hint="default" w:ascii="Nimbus Roman" w:hAnsi="Nimbus Roman"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采购协议签订后，医疗机构与中选企业不得再订立背离采购协议实质性内容的其他协议，或提出除采购协议之外的任何利益性要求。</w:t>
      </w:r>
      <w:bookmarkEnd w:id="346"/>
      <w:bookmarkEnd w:id="34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48" w:name="_Toc12971"/>
      <w:bookmarkStart w:id="349" w:name="_Toc14679"/>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0</w:t>
      </w:r>
      <w:r>
        <w:rPr>
          <w:rFonts w:hint="default" w:ascii="Nimbus Roman" w:hAnsi="Nimbus Roman" w:cs="Nimbus Roman"/>
          <w:b w:val="0"/>
          <w:bCs w:val="0"/>
          <w:color w:val="auto"/>
          <w:highlight w:val="none"/>
          <w:lang w:val="en-US" w:eastAsia="zh-CN"/>
        </w:rPr>
        <w:t>.3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严格落实中选企业自主选择配送企业。中选企业可在供应地区内自主选择一定数量的配送企业，确保配送能力覆盖全省</w:t>
      </w:r>
      <w:r>
        <w:rPr>
          <w:rFonts w:hint="default" w:ascii="Nimbus Roman" w:hAnsi="Nimbus Roman" w:cs="Nimbus Roman"/>
          <w:b w:val="0"/>
          <w:bCs w:val="0"/>
          <w:color w:val="auto"/>
          <w:highlight w:val="none"/>
          <w:lang w:val="en-US" w:eastAsia="zh-CN"/>
        </w:rPr>
        <w:t>（市、自治区、兵团）</w:t>
      </w:r>
      <w:r>
        <w:rPr>
          <w:rFonts w:hint="default" w:ascii="Nimbus Roman" w:hAnsi="Nimbus Roman" w:eastAsia="仿宋_GB2312" w:cs="Nimbus Roman"/>
          <w:b w:val="0"/>
          <w:bCs w:val="0"/>
          <w:color w:val="auto"/>
          <w:highlight w:val="none"/>
          <w:lang w:val="en-US" w:eastAsia="zh-CN"/>
        </w:rPr>
        <w:t>。中选企业应在联盟各成员单位规定时间内完成配送企业维护工作</w:t>
      </w:r>
      <w:bookmarkEnd w:id="348"/>
      <w:r>
        <w:rPr>
          <w:rFonts w:hint="default" w:ascii="Nimbus Roman" w:hAnsi="Nimbus Roman" w:cs="Nimbus Roman"/>
          <w:b w:val="0"/>
          <w:bCs w:val="0"/>
          <w:color w:val="auto"/>
          <w:highlight w:val="none"/>
          <w:lang w:val="en-US" w:eastAsia="zh-CN"/>
        </w:rPr>
        <w:t>。</w:t>
      </w:r>
      <w:bookmarkEnd w:id="349"/>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50" w:name="_Toc28615"/>
      <w:bookmarkStart w:id="351" w:name="_Toc18484"/>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0</w:t>
      </w:r>
      <w:r>
        <w:rPr>
          <w:rFonts w:hint="default" w:ascii="Nimbus Roman" w:hAnsi="Nimbus Roman" w:cs="Nimbus Roman"/>
          <w:b w:val="0"/>
          <w:bCs w:val="0"/>
          <w:color w:val="auto"/>
          <w:highlight w:val="none"/>
          <w:lang w:val="en-US" w:eastAsia="zh-CN"/>
        </w:rPr>
        <w:t>.4</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中选后，须按通知要求签订采购协议，作为质量和供应保障的第一责任人，按要求及时、足量组织生产，并向配送企业供应中选产品，满足医疗机构临床使用需求。中选企业无正当理由拒绝履行采购协议、拒绝履行购销或配送合同的，取消其中选资格，并按照医药价格和招采信用评价制度规定予以处置。</w:t>
      </w:r>
      <w:bookmarkEnd w:id="350"/>
      <w:bookmarkEnd w:id="351"/>
    </w:p>
    <w:p>
      <w:pPr>
        <w:keepNext w:val="0"/>
        <w:keepLines w:val="0"/>
        <w:pageBreakBefore w:val="0"/>
        <w:widowControl w:val="0"/>
        <w:numPr>
          <w:ilvl w:val="0"/>
          <w:numId w:val="0"/>
        </w:numPr>
        <w:kinsoku/>
        <w:wordWrap/>
        <w:overflowPunct/>
        <w:topLinePunct w:val="0"/>
        <w:autoSpaceDE w:val="0"/>
        <w:autoSpaceDN w:val="0"/>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sz w:val="32"/>
          <w:szCs w:val="32"/>
          <w:lang w:val="en-US" w:eastAsia="zh-CN" w:bidi="zh-CN"/>
        </w:rPr>
      </w:pPr>
      <w:bookmarkStart w:id="352" w:name="_Toc21656"/>
      <w:bookmarkStart w:id="353" w:name="_Toc14811"/>
      <w:bookmarkStart w:id="354" w:name="_Toc30329"/>
      <w:r>
        <w:rPr>
          <w:rFonts w:hint="default" w:ascii="Nimbus Roman" w:hAnsi="Nimbus Roman" w:eastAsia="黑体" w:cs="Nimbus Roman"/>
          <w:b w:val="0"/>
          <w:bCs w:val="0"/>
          <w:color w:val="auto"/>
          <w:sz w:val="32"/>
          <w:szCs w:val="32"/>
          <w:lang w:val="en-US" w:eastAsia="zh-CN" w:bidi="zh-CN"/>
        </w:rPr>
        <w:t>2.1</w:t>
      </w:r>
      <w:r>
        <w:rPr>
          <w:rFonts w:hint="eastAsia" w:ascii="Nimbus Roman" w:hAnsi="Nimbus Roman" w:eastAsia="黑体" w:cs="Nimbus Roman"/>
          <w:b w:val="0"/>
          <w:bCs w:val="0"/>
          <w:color w:val="auto"/>
          <w:sz w:val="32"/>
          <w:szCs w:val="32"/>
          <w:lang w:val="en-US" w:eastAsia="zh-CN" w:bidi="zh-CN"/>
        </w:rPr>
        <w:t xml:space="preserve">1 </w:t>
      </w:r>
      <w:r>
        <w:rPr>
          <w:rFonts w:hint="default" w:ascii="Nimbus Roman" w:hAnsi="Nimbus Roman" w:eastAsia="黑体" w:cs="Nimbus Roman"/>
          <w:b w:val="0"/>
          <w:bCs w:val="0"/>
          <w:color w:val="auto"/>
          <w:sz w:val="32"/>
          <w:szCs w:val="32"/>
          <w:lang w:val="en-US" w:eastAsia="zh-CN" w:bidi="zh-CN"/>
        </w:rPr>
        <w:t>采购协议履行及有关问题处理</w:t>
      </w:r>
      <w:bookmarkEnd w:id="352"/>
      <w:bookmarkEnd w:id="353"/>
      <w:bookmarkEnd w:id="35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55" w:name="_Toc13275"/>
      <w:bookmarkStart w:id="356" w:name="_Toc20457"/>
      <w:r>
        <w:rPr>
          <w:rFonts w:hint="default" w:ascii="Nimbus Roman" w:hAnsi="Nimbus Roman" w:eastAsia="仿宋_GB2312" w:cs="Nimbus Roman"/>
          <w:b w:val="0"/>
          <w:bCs w:val="0"/>
          <w:color w:val="auto"/>
          <w:highlight w:val="none"/>
          <w:lang w:val="en-US" w:eastAsia="zh-CN"/>
        </w:rPr>
        <w:t>2.1</w:t>
      </w:r>
      <w:r>
        <w:rPr>
          <w:rFonts w:hint="eastAsia" w:ascii="Nimbus Roman" w:hAnsi="Nimbus Roman" w:eastAsia="仿宋_GB2312"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违规名单认定</w:t>
      </w:r>
      <w:bookmarkEnd w:id="355"/>
      <w:bookmarkEnd w:id="35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57" w:name="_Toc12293"/>
      <w:bookmarkStart w:id="358" w:name="_Toc7152"/>
      <w:r>
        <w:rPr>
          <w:rFonts w:hint="default" w:ascii="Nimbus Roman" w:hAnsi="Nimbus Roman" w:eastAsia="仿宋_GB2312" w:cs="Nimbus Roman"/>
          <w:b w:val="0"/>
          <w:bCs w:val="0"/>
          <w:color w:val="auto"/>
          <w:highlight w:val="none"/>
          <w:lang w:val="en-US" w:eastAsia="zh-CN"/>
        </w:rPr>
        <w:t>申报企业、中选企业、配送企业如有以下行为，经有关部门认定情节严重的将被列入“违规名单”：</w:t>
      </w:r>
      <w:bookmarkEnd w:id="357"/>
      <w:bookmarkEnd w:id="35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59" w:name="_Toc27512"/>
      <w:bookmarkStart w:id="360" w:name="_Toc22692"/>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提供回扣或其他商业贿赂，进行非法促销活动。</w:t>
      </w:r>
      <w:bookmarkEnd w:id="359"/>
      <w:bookmarkEnd w:id="36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61" w:name="_Toc7711"/>
      <w:bookmarkStart w:id="362" w:name="_Toc8447"/>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以低于成本的价格申报，不供应常用规格型号，影响临床使用。</w:t>
      </w:r>
      <w:bookmarkEnd w:id="361"/>
      <w:bookmarkEnd w:id="362"/>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以向采购方、采购机构行贿等</w:t>
      </w:r>
      <w:r>
        <w:rPr>
          <w:rFonts w:hint="default" w:ascii="Nimbus Roman" w:hAnsi="Nimbus Roman" w:cs="Nimbus Roman"/>
          <w:b w:val="0"/>
          <w:bCs w:val="0"/>
          <w:color w:val="auto"/>
          <w:highlight w:val="none"/>
          <w:lang w:val="en-US" w:eastAsia="zh-CN"/>
        </w:rPr>
        <w:t>不正当</w:t>
      </w:r>
      <w:r>
        <w:rPr>
          <w:rFonts w:hint="default" w:ascii="Nimbus Roman" w:hAnsi="Nimbus Roman" w:eastAsia="仿宋_GB2312" w:cs="Nimbus Roman"/>
          <w:b w:val="0"/>
          <w:bCs w:val="0"/>
          <w:color w:val="auto"/>
          <w:highlight w:val="none"/>
          <w:lang w:val="en-US" w:eastAsia="zh-CN"/>
        </w:rPr>
        <w:t>手段牟取中选。</w:t>
      </w:r>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.1.4</w:t>
      </w:r>
      <w:r>
        <w:rPr>
          <w:rFonts w:hint="eastAsia" w:ascii="Nimbus Roman" w:hAnsi="Nimbus Roman" w:cs="Nimbus Roman"/>
          <w:b w:val="0"/>
          <w:bCs w:val="0"/>
          <w:color w:val="auto"/>
          <w:highlight w:val="none"/>
          <w:lang w:val="en-US" w:eastAsia="zh-CN"/>
        </w:rPr>
        <w:t xml:space="preserve"> </w:t>
      </w:r>
      <w:r>
        <w:rPr>
          <w:rFonts w:hint="default" w:ascii="Nimbus Roman" w:hAnsi="Nimbus Roman" w:cs="Nimbus Roman"/>
          <w:b w:val="0"/>
          <w:bCs w:val="0"/>
          <w:color w:val="auto"/>
          <w:highlight w:val="none"/>
          <w:lang w:val="en-US" w:eastAsia="zh-CN"/>
        </w:rPr>
        <w:t>提供虚假证明文件及文献资料或者以其他方式弄虚作假，骗取中选。</w:t>
      </w:r>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.1.5</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中选后放弃中选资格。</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63" w:name="_Toc5944"/>
      <w:bookmarkStart w:id="364" w:name="_Toc2976"/>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.1.6</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中选后供应的产品不符合采购品种目录规定的规格和型号。</w:t>
      </w:r>
      <w:bookmarkEnd w:id="363"/>
      <w:bookmarkEnd w:id="364"/>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65" w:name="_Toc17619"/>
      <w:bookmarkStart w:id="366" w:name="_Toc14131"/>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.1.7</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中选产品发生严重质量问题。</w:t>
      </w:r>
      <w:bookmarkEnd w:id="365"/>
      <w:bookmarkEnd w:id="366"/>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67" w:name="_Toc3683"/>
      <w:bookmarkStart w:id="368" w:name="_Toc19739"/>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.1.8</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在规定的抽检或飞行检查中发现严重违背在申报材料中作出的承诺。</w:t>
      </w:r>
      <w:bookmarkEnd w:id="367"/>
      <w:bookmarkEnd w:id="36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69" w:name="_Toc31529"/>
      <w:bookmarkStart w:id="370" w:name="_Toc6281"/>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.1.9</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中选企业、配送企业未按采购协议及法律法规要求实行配送。</w:t>
      </w:r>
      <w:bookmarkEnd w:id="369"/>
      <w:bookmarkEnd w:id="370"/>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71" w:name="_Toc28094"/>
      <w:bookmarkStart w:id="372" w:name="_Toc12966"/>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.1.10</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存在其他违反法律法规的行为。</w:t>
      </w:r>
      <w:bookmarkEnd w:id="371"/>
      <w:bookmarkEnd w:id="37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仿宋_GB2312" w:cs="Nimbus Roman"/>
          <w:b w:val="0"/>
          <w:bCs w:val="0"/>
          <w:color w:val="auto"/>
          <w:highlight w:val="none"/>
          <w:lang w:val="en-US" w:eastAsia="zh-CN"/>
        </w:rPr>
      </w:pPr>
      <w:bookmarkStart w:id="373" w:name="_Toc17302"/>
      <w:bookmarkStart w:id="374" w:name="_Toc27505"/>
      <w:r>
        <w:rPr>
          <w:rFonts w:hint="default" w:ascii="Nimbus Roman" w:hAnsi="Nimbus Roman" w:eastAsia="仿宋_GB2312" w:cs="Nimbus Roman"/>
          <w:b w:val="0"/>
          <w:bCs w:val="0"/>
          <w:color w:val="auto"/>
          <w:highlight w:val="none"/>
          <w:lang w:val="en-US" w:eastAsia="zh-CN"/>
        </w:rPr>
        <w:t>2.1</w:t>
      </w:r>
      <w:r>
        <w:rPr>
          <w:rFonts w:hint="eastAsia" w:ascii="Nimbus Roman" w:hAnsi="Nimbus Roman" w:eastAsia="仿宋_GB2312"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“违规名单”处理</w:t>
      </w:r>
      <w:bookmarkEnd w:id="373"/>
      <w:bookmarkEnd w:id="374"/>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申报企业列入“违规名单”的，取消该企业的申报资格。</w:t>
      </w:r>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.2.2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中选企业列入“违规名单”的，取消该企业的中选资格。情节严重的，取消该企业在列入“违规名单”之日起2年内参与</w:t>
      </w:r>
      <w:r>
        <w:rPr>
          <w:rFonts w:hint="default" w:ascii="Nimbus Roman" w:hAnsi="Nimbus Roman" w:cs="Nimbus Roman"/>
          <w:b w:val="0"/>
          <w:bCs w:val="0"/>
          <w:color w:val="auto"/>
          <w:highlight w:val="none"/>
          <w:lang w:val="en-US" w:eastAsia="zh-CN"/>
        </w:rPr>
        <w:t>湖南省牵头组建的省际</w:t>
      </w:r>
      <w:r>
        <w:rPr>
          <w:rFonts w:hint="default" w:ascii="Nimbus Roman" w:hAnsi="Nimbus Roman" w:eastAsia="仿宋_GB2312" w:cs="Nimbus Roman"/>
          <w:b w:val="0"/>
          <w:bCs w:val="0"/>
          <w:color w:val="auto"/>
          <w:highlight w:val="none"/>
          <w:lang w:val="en-US" w:eastAsia="zh-CN"/>
        </w:rPr>
        <w:t>联盟医用耗材集中采购活动的资格。</w:t>
      </w:r>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.2.</w:t>
      </w:r>
      <w:r>
        <w:rPr>
          <w:rFonts w:hint="default" w:ascii="Nimbus Roman" w:hAnsi="Nimbus Roman" w:eastAsia="仿宋_GB2312" w:cs="Nimbus Roman"/>
          <w:b w:val="0"/>
          <w:bCs w:val="0"/>
          <w:color w:val="auto"/>
          <w:highlight w:val="none"/>
          <w:lang w:val="en-US" w:eastAsia="zh-CN"/>
        </w:rPr>
        <w:t>3</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配送企业列入“违规名单”的，联盟各成员单位可取消该企业的配送资格及列入“违规名单”之日起2年内参与联盟各成员单位医用耗材集中采购的配送资格。</w:t>
      </w:r>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bookmarkStart w:id="375" w:name="_Toc6175"/>
      <w:bookmarkStart w:id="376" w:name="_Toc20210"/>
      <w:r>
        <w:rPr>
          <w:rFonts w:hint="default" w:ascii="Nimbus Roman" w:hAnsi="Nimbus Roman" w:eastAsia="仿宋_GB2312" w:cs="Nimbus Roman"/>
          <w:b w:val="0"/>
          <w:bCs w:val="0"/>
          <w:color w:val="auto"/>
          <w:highlight w:val="none"/>
          <w:lang w:val="en-US" w:eastAsia="zh-CN"/>
        </w:rPr>
        <w:t>2.1</w:t>
      </w:r>
      <w:r>
        <w:rPr>
          <w:rFonts w:hint="eastAsia" w:ascii="Nimbus Roman" w:hAnsi="Nimbus Roman" w:eastAsia="仿宋_GB2312" w:cs="Nimbus Roman"/>
          <w:b w:val="0"/>
          <w:bCs w:val="0"/>
          <w:color w:val="auto"/>
          <w:highlight w:val="none"/>
          <w:lang w:val="en-US" w:eastAsia="zh-CN"/>
        </w:rPr>
        <w:t>1</w:t>
      </w:r>
      <w:r>
        <w:rPr>
          <w:rFonts w:hint="default" w:ascii="Nimbus Roman" w:hAnsi="Nimbus Roman" w:eastAsia="仿宋_GB2312" w:cs="Nimbus Roman"/>
          <w:b w:val="0"/>
          <w:bCs w:val="0"/>
          <w:color w:val="auto"/>
          <w:highlight w:val="none"/>
          <w:lang w:val="en-US" w:eastAsia="zh-CN"/>
        </w:rPr>
        <w:t>.3</w:t>
      </w:r>
      <w:r>
        <w:rPr>
          <w:rFonts w:hint="eastAsia" w:ascii="Nimbus Roman" w:hAnsi="Nimbus Roman" w:eastAsia="仿宋_GB2312"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其他问题处理</w:t>
      </w:r>
      <w:bookmarkEnd w:id="375"/>
      <w:bookmarkEnd w:id="376"/>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.3.</w:t>
      </w:r>
      <w:r>
        <w:rPr>
          <w:rFonts w:hint="default" w:ascii="Nimbus Roman" w:hAnsi="Nimbus Roman" w:eastAsia="仿宋_GB2312" w:cs="Nimbus Roman"/>
          <w:b w:val="0"/>
          <w:bCs w:val="0"/>
          <w:color w:val="auto"/>
          <w:highlight w:val="none"/>
          <w:lang w:val="en-US" w:eastAsia="zh-CN"/>
        </w:rPr>
        <w:t>1</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因中选产品存在生产质量问题，</w:t>
      </w:r>
      <w:r>
        <w:rPr>
          <w:rFonts w:hint="default" w:ascii="Nimbus Roman" w:hAnsi="Nimbus Roman" w:cs="Nimbus Roman"/>
          <w:b w:val="0"/>
          <w:bCs w:val="0"/>
          <w:color w:val="auto"/>
          <w:highlight w:val="none"/>
          <w:lang w:val="en-US" w:eastAsia="zh-CN"/>
        </w:rPr>
        <w:t>在使用过程中对</w:t>
      </w:r>
      <w:r>
        <w:rPr>
          <w:rFonts w:hint="default" w:ascii="Nimbus Roman" w:hAnsi="Nimbus Roman" w:eastAsia="仿宋_GB2312" w:cs="Nimbus Roman"/>
          <w:b w:val="0"/>
          <w:bCs w:val="0"/>
          <w:color w:val="auto"/>
          <w:highlight w:val="none"/>
          <w:lang w:val="en-US" w:eastAsia="zh-CN"/>
        </w:rPr>
        <w:t>患者造成人身伤害的，由中选企业承担全部赔偿责任，医疗机构可申请更换其他中选产品。由此产生的医疗机构未完成协议采购量等后果由中选企业自行承担。</w:t>
      </w:r>
    </w:p>
    <w:p>
      <w:pPr>
        <w:keepNext w:val="0"/>
        <w:keepLines w:val="0"/>
        <w:pageBreakBefore w:val="0"/>
        <w:widowControl w:val="0"/>
        <w:kinsoku/>
        <w:wordWrap/>
        <w:overflowPunct/>
        <w:topLinePunct w:val="0"/>
        <w:bidi w:val="0"/>
        <w:adjustRightInd/>
        <w:spacing w:before="0" w:line="576" w:lineRule="exact"/>
        <w:ind w:firstLine="640" w:firstLineChars="200"/>
        <w:jc w:val="both"/>
        <w:textAlignment w:val="auto"/>
        <w:rPr>
          <w:rFonts w:hint="default" w:ascii="Nimbus Roman" w:hAnsi="Nimbus Roman" w:eastAsia="仿宋_GB2312" w:cs="Nimbus Roman"/>
          <w:b w:val="0"/>
          <w:bCs w:val="0"/>
          <w:color w:val="auto"/>
          <w:highlight w:val="none"/>
          <w:lang w:val="en-US" w:eastAsia="zh-CN"/>
        </w:rPr>
      </w:pPr>
      <w:r>
        <w:rPr>
          <w:rFonts w:hint="default" w:ascii="Nimbus Roman" w:hAnsi="Nimbus Roman" w:cs="Nimbus Roman"/>
          <w:b w:val="0"/>
          <w:bCs w:val="0"/>
          <w:color w:val="auto"/>
          <w:highlight w:val="none"/>
          <w:lang w:val="en-US" w:eastAsia="zh-CN"/>
        </w:rPr>
        <w:t>2.1</w:t>
      </w:r>
      <w:r>
        <w:rPr>
          <w:rFonts w:hint="eastAsia" w:ascii="Nimbus Roman" w:hAnsi="Nimbus Roman" w:cs="Nimbus Roman"/>
          <w:b w:val="0"/>
          <w:bCs w:val="0"/>
          <w:color w:val="auto"/>
          <w:highlight w:val="none"/>
          <w:lang w:val="en-US" w:eastAsia="zh-CN"/>
        </w:rPr>
        <w:t>1</w:t>
      </w:r>
      <w:r>
        <w:rPr>
          <w:rFonts w:hint="default" w:ascii="Nimbus Roman" w:hAnsi="Nimbus Roman" w:cs="Nimbus Roman"/>
          <w:b w:val="0"/>
          <w:bCs w:val="0"/>
          <w:color w:val="auto"/>
          <w:highlight w:val="none"/>
          <w:lang w:val="en-US" w:eastAsia="zh-CN"/>
        </w:rPr>
        <w:t>.3.</w:t>
      </w:r>
      <w:r>
        <w:rPr>
          <w:rFonts w:hint="default" w:ascii="Nimbus Roman" w:hAnsi="Nimbus Roman" w:eastAsia="仿宋_GB2312" w:cs="Nimbus Roman"/>
          <w:b w:val="0"/>
          <w:bCs w:val="0"/>
          <w:color w:val="auto"/>
          <w:highlight w:val="none"/>
          <w:lang w:val="en-US" w:eastAsia="zh-CN"/>
        </w:rPr>
        <w:t>2</w:t>
      </w:r>
      <w:r>
        <w:rPr>
          <w:rFonts w:hint="eastAsia" w:ascii="Nimbus Roman" w:hAnsi="Nimbus Roman" w:cs="Nimbus Roman"/>
          <w:b w:val="0"/>
          <w:bCs w:val="0"/>
          <w:color w:val="auto"/>
          <w:highlight w:val="none"/>
          <w:lang w:val="en-US" w:eastAsia="zh-CN"/>
        </w:rPr>
        <w:t xml:space="preserve"> </w:t>
      </w:r>
      <w:r>
        <w:rPr>
          <w:rFonts w:hint="default" w:ascii="Nimbus Roman" w:hAnsi="Nimbus Roman" w:eastAsia="仿宋_GB2312" w:cs="Nimbus Roman"/>
          <w:b w:val="0"/>
          <w:bCs w:val="0"/>
          <w:color w:val="auto"/>
          <w:highlight w:val="none"/>
          <w:lang w:val="en-US" w:eastAsia="zh-CN"/>
        </w:rPr>
        <w:t>采购周期内，中选企业出现无法保证供应等情况，医疗机构可自主选择价格适宜的中选产品。由此产生的医疗机构未完成协议采购量等后果由中选企业自行承担。</w:t>
      </w:r>
    </w:p>
    <w:p>
      <w:pPr>
        <w:keepNext w:val="0"/>
        <w:keepLines w:val="0"/>
        <w:pageBreakBefore w:val="0"/>
        <w:widowControl w:val="0"/>
        <w:numPr>
          <w:ilvl w:val="0"/>
          <w:numId w:val="0"/>
        </w:numPr>
        <w:kinsoku/>
        <w:wordWrap/>
        <w:overflowPunct/>
        <w:topLinePunct w:val="0"/>
        <w:autoSpaceDE w:val="0"/>
        <w:autoSpaceDN w:val="0"/>
        <w:bidi w:val="0"/>
        <w:adjustRightInd/>
        <w:snapToGrid/>
        <w:spacing w:line="576" w:lineRule="exact"/>
        <w:ind w:left="0" w:leftChars="0" w:right="0" w:rightChars="0" w:firstLine="640" w:firstLineChars="200"/>
        <w:jc w:val="both"/>
        <w:textAlignment w:val="auto"/>
        <w:outlineLvl w:val="1"/>
        <w:rPr>
          <w:rFonts w:hint="default" w:ascii="Nimbus Roman" w:hAnsi="Nimbus Roman" w:eastAsia="黑体" w:cs="Nimbus Roman"/>
          <w:b w:val="0"/>
          <w:bCs w:val="0"/>
          <w:color w:val="auto"/>
          <w:sz w:val="32"/>
          <w:szCs w:val="32"/>
          <w:lang w:val="en-US" w:eastAsia="zh-CN" w:bidi="zh-CN"/>
        </w:rPr>
      </w:pPr>
      <w:bookmarkStart w:id="377" w:name="_Toc9538"/>
      <w:bookmarkStart w:id="378" w:name="_Toc21735"/>
      <w:bookmarkStart w:id="379" w:name="_Toc29038"/>
      <w:r>
        <w:rPr>
          <w:rFonts w:hint="default" w:ascii="Nimbus Roman" w:hAnsi="Nimbus Roman" w:eastAsia="黑体" w:cs="Nimbus Roman"/>
          <w:b w:val="0"/>
          <w:bCs w:val="0"/>
          <w:color w:val="auto"/>
          <w:sz w:val="32"/>
          <w:szCs w:val="32"/>
          <w:lang w:val="en-US" w:eastAsia="zh-CN" w:bidi="zh-CN"/>
        </w:rPr>
        <w:t>2.1</w:t>
      </w:r>
      <w:r>
        <w:rPr>
          <w:rFonts w:hint="eastAsia" w:ascii="Nimbus Roman" w:hAnsi="Nimbus Roman" w:eastAsia="黑体" w:cs="Nimbus Roman"/>
          <w:b w:val="0"/>
          <w:bCs w:val="0"/>
          <w:color w:val="auto"/>
          <w:sz w:val="32"/>
          <w:szCs w:val="32"/>
          <w:lang w:val="en-US" w:eastAsia="zh-CN" w:bidi="zh-CN"/>
        </w:rPr>
        <w:t xml:space="preserve">2 </w:t>
      </w:r>
      <w:r>
        <w:rPr>
          <w:rFonts w:hint="default" w:ascii="Nimbus Roman" w:hAnsi="Nimbus Roman" w:eastAsia="黑体" w:cs="Nimbus Roman"/>
          <w:b w:val="0"/>
          <w:bCs w:val="0"/>
          <w:color w:val="auto"/>
          <w:sz w:val="32"/>
          <w:szCs w:val="32"/>
          <w:lang w:val="en-US" w:eastAsia="zh-CN" w:bidi="zh-CN"/>
        </w:rPr>
        <w:t>其他</w:t>
      </w:r>
      <w:bookmarkEnd w:id="377"/>
      <w:bookmarkEnd w:id="378"/>
      <w:bookmarkEnd w:id="379"/>
    </w:p>
    <w:p>
      <w:pPr>
        <w:pStyle w:val="5"/>
        <w:keepNext w:val="0"/>
        <w:keepLines w:val="0"/>
        <w:pageBreakBefore w:val="0"/>
        <w:widowControl w:val="0"/>
        <w:kinsoku/>
        <w:wordWrap/>
        <w:overflowPunct/>
        <w:topLinePunct w:val="0"/>
        <w:autoSpaceDE w:val="0"/>
        <w:autoSpaceDN w:val="0"/>
        <w:bidi w:val="0"/>
        <w:adjustRightInd/>
        <w:snapToGrid/>
        <w:spacing w:line="576" w:lineRule="exact"/>
        <w:ind w:left="0" w:leftChars="0" w:firstLine="640" w:firstLineChars="200"/>
        <w:jc w:val="both"/>
        <w:textAlignment w:val="auto"/>
        <w:rPr>
          <w:rFonts w:hint="default" w:ascii="Nimbus Roman" w:hAnsi="Nimbus Roman" w:eastAsia="仿宋_GB2312" w:cs="Nimbus Roman"/>
          <w:color w:val="auto"/>
          <w:sz w:val="32"/>
          <w:szCs w:val="32"/>
          <w:lang w:val="en-US" w:eastAsia="zh-CN"/>
        </w:rPr>
      </w:pPr>
      <w:r>
        <w:rPr>
          <w:rFonts w:hint="default" w:ascii="Nimbus Roman" w:hAnsi="Nimbus Roman" w:eastAsia="仿宋_GB2312" w:cs="Nimbus Roman"/>
          <w:b w:val="0"/>
          <w:bCs w:val="0"/>
          <w:color w:val="auto"/>
          <w:sz w:val="32"/>
          <w:szCs w:val="32"/>
          <w:highlight w:val="none"/>
          <w:lang w:val="en-US" w:eastAsia="zh-CN" w:bidi="zh-CN"/>
        </w:rPr>
        <w:t>本采购文件仅适用于本次</w:t>
      </w:r>
      <w:r>
        <w:rPr>
          <w:rFonts w:hint="default" w:ascii="Nimbus Roman" w:hAnsi="Nimbus Roman" w:cs="Nimbus Roman"/>
          <w:b w:val="0"/>
          <w:bCs w:val="0"/>
          <w:color w:val="auto"/>
          <w:sz w:val="32"/>
          <w:szCs w:val="32"/>
          <w:highlight w:val="none"/>
          <w:lang w:val="en-US" w:eastAsia="zh-CN" w:bidi="zh-CN"/>
        </w:rPr>
        <w:t>呼吸介入类</w:t>
      </w:r>
      <w:r>
        <w:rPr>
          <w:rFonts w:hint="default" w:ascii="Nimbus Roman" w:hAnsi="Nimbus Roman" w:eastAsia="仿宋_GB2312" w:cs="Nimbus Roman"/>
          <w:b w:val="0"/>
          <w:bCs w:val="0"/>
          <w:color w:val="auto"/>
          <w:sz w:val="32"/>
          <w:szCs w:val="32"/>
          <w:highlight w:val="none"/>
          <w:lang w:val="en-US" w:eastAsia="zh-CN" w:bidi="zh-CN"/>
        </w:rPr>
        <w:t>医用耗材集中带量采购所述项目的医用耗材及相关服务，最终解释权归联采办所有</w:t>
      </w:r>
      <w:r>
        <w:rPr>
          <w:rFonts w:hint="default" w:ascii="Nimbus Roman" w:hAnsi="Nimbus Roman" w:eastAsia="仿宋_GB2312" w:cs="Nimbus Roman"/>
          <w:color w:val="auto"/>
          <w:sz w:val="32"/>
          <w:szCs w:val="32"/>
          <w:lang w:val="en-US" w:eastAsia="zh-CN"/>
        </w:rPr>
        <w:t>。</w:t>
      </w:r>
    </w:p>
    <w:p>
      <w:pPr>
        <w:keepNext w:val="0"/>
        <w:keepLines w:val="0"/>
        <w:pageBreakBefore w:val="0"/>
        <w:widowControl w:val="0"/>
        <w:kinsoku/>
        <w:wordWrap/>
        <w:overflowPunct/>
        <w:topLinePunct w:val="0"/>
        <w:autoSpaceDE w:val="0"/>
        <w:autoSpaceDN w:val="0"/>
        <w:bidi w:val="0"/>
        <w:adjustRightInd/>
        <w:snapToGrid/>
        <w:spacing w:line="576" w:lineRule="exact"/>
        <w:ind w:left="0" w:leftChars="0" w:firstLineChars="200"/>
        <w:jc w:val="both"/>
        <w:textAlignment w:val="auto"/>
        <w:rPr>
          <w:rFonts w:hint="default" w:ascii="Nimbus Roman" w:hAnsi="Nimbus Roman" w:eastAsia="仿宋_GB2312" w:cs="Nimbus Roman"/>
          <w:b w:val="0"/>
          <w:i w:val="0"/>
          <w:color w:val="auto"/>
          <w:sz w:val="32"/>
          <w:szCs w:val="32"/>
          <w:lang w:val="en-US" w:eastAsia="zh-CN"/>
        </w:rPr>
      </w:pPr>
      <w:r>
        <w:rPr>
          <w:rFonts w:hint="default" w:ascii="Nimbus Roman" w:hAnsi="Nimbus Roman" w:eastAsia="仿宋_GB2312" w:cs="Nimbus Roman"/>
          <w:b w:val="0"/>
          <w:i w:val="0"/>
          <w:color w:val="auto"/>
          <w:sz w:val="32"/>
          <w:szCs w:val="32"/>
          <w:lang w:val="en-US" w:eastAsia="zh-CN"/>
        </w:rPr>
        <w:br w:type="page"/>
      </w: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1"/>
        <w:rPr>
          <w:rFonts w:hint="default" w:ascii="Nimbus Roman" w:hAnsi="Nimbus Roman" w:eastAsia="方正小标宋简体" w:cs="Nimbus Roman"/>
          <w:color w:val="auto"/>
          <w:kern w:val="0"/>
          <w:sz w:val="44"/>
          <w:szCs w:val="44"/>
          <w:lang w:val="en-US" w:eastAsia="zh-CN" w:bidi="ar"/>
        </w:rPr>
      </w:pPr>
      <w:bookmarkStart w:id="380" w:name="_Toc30701"/>
      <w:r>
        <w:rPr>
          <w:rFonts w:hint="default" w:ascii="Nimbus Roman" w:hAnsi="Nimbus Roman" w:eastAsia="方正小标宋简体" w:cs="Nimbus Roman"/>
          <w:color w:val="auto"/>
          <w:kern w:val="0"/>
          <w:sz w:val="44"/>
          <w:szCs w:val="44"/>
          <w:lang w:val="en-US" w:eastAsia="zh-CN" w:bidi="ar"/>
        </w:rPr>
        <w:t>第三部分    附件</w:t>
      </w:r>
      <w:bookmarkEnd w:id="380"/>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r>
        <w:rPr>
          <w:rFonts w:hint="default" w:ascii="Nimbus Roman" w:hAnsi="Nimbus Roman" w:eastAsia="方正小标宋简体" w:cs="Nimbus Roman"/>
          <w:color w:val="auto"/>
          <w:kern w:val="0"/>
          <w:sz w:val="44"/>
          <w:szCs w:val="44"/>
          <w:lang w:val="en-US" w:eastAsia="zh-CN" w:bidi="ar"/>
        </w:rPr>
        <w:br w:type="page"/>
      </w: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方正小标宋简体" w:cs="Nimbus Roman"/>
          <w:color w:val="auto"/>
          <w:kern w:val="0"/>
          <w:sz w:val="44"/>
          <w:szCs w:val="44"/>
          <w:lang w:val="en-US" w:eastAsia="zh-CN" w:bidi="ar"/>
        </w:rPr>
      </w:pPr>
    </w:p>
    <w:p>
      <w:pPr>
        <w:keepNext w:val="0"/>
        <w:keepLines w:val="0"/>
        <w:pageBreakBefore w:val="0"/>
        <w:widowControl/>
        <w:suppressLineNumbers w:val="0"/>
        <w:kinsoku/>
        <w:wordWrap/>
        <w:overflowPunct/>
        <w:topLinePunct w:val="0"/>
        <w:bidi w:val="0"/>
        <w:adjustRightInd/>
        <w:spacing w:line="576" w:lineRule="exact"/>
        <w:jc w:val="center"/>
        <w:outlineLvl w:val="9"/>
        <w:rPr>
          <w:rFonts w:hint="default" w:ascii="Nimbus Roman" w:hAnsi="Nimbus Roman" w:eastAsia="仿宋_GB2312" w:cs="Nimbus Roman"/>
          <w:color w:val="auto"/>
          <w:sz w:val="32"/>
          <w:szCs w:val="32"/>
          <w:lang w:val="zh-CN" w:eastAsia="zh-CN"/>
        </w:rPr>
      </w:pPr>
      <w:r>
        <w:rPr>
          <w:rFonts w:hint="default" w:ascii="Nimbus Roman" w:hAnsi="Nimbus Roman" w:eastAsia="仿宋_GB2312" w:cs="Nimbus Roman"/>
          <w:color w:val="auto"/>
          <w:kern w:val="0"/>
          <w:sz w:val="32"/>
          <w:szCs w:val="32"/>
          <w:lang w:val="en-US" w:eastAsia="zh-CN" w:bidi="ar"/>
        </w:rPr>
        <w:t>（待定）</w:t>
      </w:r>
    </w:p>
    <w:sectPr>
      <w:headerReference r:id="rId6" w:type="default"/>
      <w:footerReference r:id="rId7" w:type="default"/>
      <w:type w:val="continuous"/>
      <w:pgSz w:w="11910" w:h="16840"/>
      <w:pgMar w:top="2098" w:right="1531" w:bottom="1984" w:left="1531" w:header="720" w:footer="72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FDBC27-14A1-4227-912B-34660BF5D83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920E4174-E0D9-4FEB-BFF6-A5FAA8C967F9}"/>
  </w:font>
  <w:font w:name="方正小标宋简体">
    <w:panose1 w:val="02010601030101010101"/>
    <w:charset w:val="86"/>
    <w:family w:val="auto"/>
    <w:pitch w:val="default"/>
    <w:sig w:usb0="00000001" w:usb1="080E0000" w:usb2="00000000" w:usb3="00000000" w:csb0="00040000" w:csb1="00000000"/>
    <w:embedRegular r:id="rId3" w:fontKey="{DC20DF55-F76A-4010-A26E-C410F946FFDE}"/>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embedRegular r:id="rId4" w:fontKey="{ED53E846-3531-4DE9-A47F-5346919561A5}"/>
  </w:font>
  <w:font w:name="Nimbus Roman">
    <w:altName w:val="Segoe Print"/>
    <w:panose1 w:val="00000500000000000000"/>
    <w:charset w:val="00"/>
    <w:family w:val="auto"/>
    <w:pitch w:val="default"/>
    <w:sig w:usb0="00000000" w:usb1="00000000" w:usb2="00000000" w:usb3="00000000" w:csb0="6000009F" w:csb1="00000000"/>
    <w:embedRegular r:id="rId5" w:fontKey="{3084B3BD-B623-4A7F-80FD-8F72BA43BE86}"/>
  </w:font>
  <w:font w:name="楷体_GB2312">
    <w:panose1 w:val="02010609030101010101"/>
    <w:charset w:val="86"/>
    <w:family w:val="auto"/>
    <w:pitch w:val="default"/>
    <w:sig w:usb0="00000001" w:usb1="080E0000" w:usb2="00000000" w:usb3="00000000" w:csb0="00040000" w:csb1="00000000"/>
    <w:embedRegular r:id="rId6" w:fontKey="{3800B34A-0D10-4295-985E-B577EDFB3782}"/>
  </w:font>
  <w:font w:name="FangSong_GB2312">
    <w:altName w:val="仿宋_GB2312"/>
    <w:panose1 w:val="02010609030101010101"/>
    <w:charset w:val="86"/>
    <w:family w:val="auto"/>
    <w:pitch w:val="default"/>
    <w:sig w:usb0="00000000" w:usb1="00000000" w:usb2="00000000" w:usb3="00000000" w:csb0="00040000" w:csb1="00000000"/>
    <w:embedRegular r:id="rId7" w:fontKey="{950FC2D6-C47D-454C-B775-35617119D475}"/>
  </w:font>
  <w:font w:name="方正楷体_GB2312">
    <w:altName w:val="楷体_GB2312"/>
    <w:panose1 w:val="02000000000000000000"/>
    <w:charset w:val="86"/>
    <w:family w:val="auto"/>
    <w:pitch w:val="default"/>
    <w:sig w:usb0="00000000" w:usb1="00000000" w:usb2="00000012" w:usb3="00000000" w:csb0="00040001" w:csb1="00000000"/>
    <w:embedRegular r:id="rId8" w:fontKey="{A3EFF11C-94D0-4A2A-A6A0-11900CBC5381}"/>
  </w:font>
  <w:font w:name="Segoe Print">
    <w:panose1 w:val="02000600000000000000"/>
    <w:charset w:val="00"/>
    <w:family w:val="auto"/>
    <w:pitch w:val="default"/>
    <w:sig w:usb0="0000028F" w:usb1="00000000" w:usb2="00000000" w:usb3="00000000" w:csb0="2000009F" w:csb1="4701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任思青">
    <w15:presenceInfo w15:providerId="None" w15:userId="任思青"/>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revisionView w:markup="0"/>
  <w:trackRevisions w:val="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4OWZjOTdhZjBhMmI0N2E2NDQyZDVhNWRjN2M2ZWYifQ=="/>
    <w:docVar w:name="KSO_WPS_MARK_KEY" w:val="dc4a5720-55b0-42e2-810e-152a3696728a"/>
  </w:docVars>
  <w:rsids>
    <w:rsidRoot w:val="00000000"/>
    <w:rsid w:val="00043144"/>
    <w:rsid w:val="00135135"/>
    <w:rsid w:val="001F1727"/>
    <w:rsid w:val="002207A1"/>
    <w:rsid w:val="00305516"/>
    <w:rsid w:val="005F38FE"/>
    <w:rsid w:val="006833D3"/>
    <w:rsid w:val="0069744B"/>
    <w:rsid w:val="006A4533"/>
    <w:rsid w:val="00724552"/>
    <w:rsid w:val="008C3CB1"/>
    <w:rsid w:val="00914711"/>
    <w:rsid w:val="00930024"/>
    <w:rsid w:val="00CD79DA"/>
    <w:rsid w:val="00DA0C51"/>
    <w:rsid w:val="00E92927"/>
    <w:rsid w:val="00F028DC"/>
    <w:rsid w:val="01037859"/>
    <w:rsid w:val="01145609"/>
    <w:rsid w:val="0115263C"/>
    <w:rsid w:val="01176E27"/>
    <w:rsid w:val="01255120"/>
    <w:rsid w:val="012C6219"/>
    <w:rsid w:val="013048A9"/>
    <w:rsid w:val="013A3FC1"/>
    <w:rsid w:val="013E4434"/>
    <w:rsid w:val="014F4893"/>
    <w:rsid w:val="016012B0"/>
    <w:rsid w:val="016F45ED"/>
    <w:rsid w:val="0170041A"/>
    <w:rsid w:val="01792597"/>
    <w:rsid w:val="017B7436"/>
    <w:rsid w:val="018856BE"/>
    <w:rsid w:val="018A58CB"/>
    <w:rsid w:val="01A544B3"/>
    <w:rsid w:val="01AA53FC"/>
    <w:rsid w:val="01B96DFD"/>
    <w:rsid w:val="01C0753F"/>
    <w:rsid w:val="01D229B2"/>
    <w:rsid w:val="01D9415D"/>
    <w:rsid w:val="01DE4D61"/>
    <w:rsid w:val="01EE7C08"/>
    <w:rsid w:val="02014FAF"/>
    <w:rsid w:val="02074EB9"/>
    <w:rsid w:val="02253031"/>
    <w:rsid w:val="02387E97"/>
    <w:rsid w:val="023A4BFB"/>
    <w:rsid w:val="023F2CF1"/>
    <w:rsid w:val="0247556A"/>
    <w:rsid w:val="024B5F91"/>
    <w:rsid w:val="025C019B"/>
    <w:rsid w:val="025C279D"/>
    <w:rsid w:val="025D6BED"/>
    <w:rsid w:val="025F4662"/>
    <w:rsid w:val="02613208"/>
    <w:rsid w:val="02664583"/>
    <w:rsid w:val="02725307"/>
    <w:rsid w:val="02873141"/>
    <w:rsid w:val="029A1B3E"/>
    <w:rsid w:val="02A66735"/>
    <w:rsid w:val="02B56BAC"/>
    <w:rsid w:val="02C26F6C"/>
    <w:rsid w:val="02C95F7F"/>
    <w:rsid w:val="02CE57FC"/>
    <w:rsid w:val="02DD1D38"/>
    <w:rsid w:val="02E62FD5"/>
    <w:rsid w:val="02E828A9"/>
    <w:rsid w:val="030750CA"/>
    <w:rsid w:val="030A418E"/>
    <w:rsid w:val="03217B69"/>
    <w:rsid w:val="03253AFD"/>
    <w:rsid w:val="032F08D7"/>
    <w:rsid w:val="03311CEA"/>
    <w:rsid w:val="03345AEF"/>
    <w:rsid w:val="03486EE3"/>
    <w:rsid w:val="035148F2"/>
    <w:rsid w:val="03615322"/>
    <w:rsid w:val="036F2FCB"/>
    <w:rsid w:val="038D3451"/>
    <w:rsid w:val="038F1881"/>
    <w:rsid w:val="039306A9"/>
    <w:rsid w:val="03A10CAA"/>
    <w:rsid w:val="03A16A61"/>
    <w:rsid w:val="03B804CE"/>
    <w:rsid w:val="03CD109D"/>
    <w:rsid w:val="03CD1A9F"/>
    <w:rsid w:val="03E272F9"/>
    <w:rsid w:val="03FC4045"/>
    <w:rsid w:val="03FF434E"/>
    <w:rsid w:val="04025BED"/>
    <w:rsid w:val="042F62B6"/>
    <w:rsid w:val="04395576"/>
    <w:rsid w:val="043B2EAD"/>
    <w:rsid w:val="043F1A6C"/>
    <w:rsid w:val="04415972"/>
    <w:rsid w:val="047168CE"/>
    <w:rsid w:val="047278E3"/>
    <w:rsid w:val="04826D2E"/>
    <w:rsid w:val="04890482"/>
    <w:rsid w:val="049941F3"/>
    <w:rsid w:val="04AC51BF"/>
    <w:rsid w:val="04BA0982"/>
    <w:rsid w:val="04BD1D44"/>
    <w:rsid w:val="050E236F"/>
    <w:rsid w:val="05186F6A"/>
    <w:rsid w:val="051872D7"/>
    <w:rsid w:val="051A33FA"/>
    <w:rsid w:val="051B7B8F"/>
    <w:rsid w:val="05300538"/>
    <w:rsid w:val="053669AF"/>
    <w:rsid w:val="053D6A04"/>
    <w:rsid w:val="053F0E39"/>
    <w:rsid w:val="05455959"/>
    <w:rsid w:val="05577D7A"/>
    <w:rsid w:val="055A23D6"/>
    <w:rsid w:val="056D52E8"/>
    <w:rsid w:val="05790336"/>
    <w:rsid w:val="057E7DCE"/>
    <w:rsid w:val="058A7C48"/>
    <w:rsid w:val="058C0305"/>
    <w:rsid w:val="058C1C12"/>
    <w:rsid w:val="05933110"/>
    <w:rsid w:val="05A607FA"/>
    <w:rsid w:val="05AB6CE0"/>
    <w:rsid w:val="05B378F5"/>
    <w:rsid w:val="05BC001D"/>
    <w:rsid w:val="05D13410"/>
    <w:rsid w:val="05D3666F"/>
    <w:rsid w:val="05D62E8D"/>
    <w:rsid w:val="05E44F75"/>
    <w:rsid w:val="05EA2DDC"/>
    <w:rsid w:val="05EC26B0"/>
    <w:rsid w:val="0607573C"/>
    <w:rsid w:val="060C3353"/>
    <w:rsid w:val="0617364B"/>
    <w:rsid w:val="063C7086"/>
    <w:rsid w:val="064305B7"/>
    <w:rsid w:val="066309FF"/>
    <w:rsid w:val="067202B9"/>
    <w:rsid w:val="06764670"/>
    <w:rsid w:val="067D01F8"/>
    <w:rsid w:val="067D77AC"/>
    <w:rsid w:val="06802AF8"/>
    <w:rsid w:val="069313CE"/>
    <w:rsid w:val="069845E6"/>
    <w:rsid w:val="06AB431A"/>
    <w:rsid w:val="06AD6C48"/>
    <w:rsid w:val="06AE6593"/>
    <w:rsid w:val="06B61737"/>
    <w:rsid w:val="06C726BC"/>
    <w:rsid w:val="06CC0578"/>
    <w:rsid w:val="06ED43D6"/>
    <w:rsid w:val="06F51A39"/>
    <w:rsid w:val="06FF4708"/>
    <w:rsid w:val="07097292"/>
    <w:rsid w:val="071845D8"/>
    <w:rsid w:val="072617BB"/>
    <w:rsid w:val="073B09FA"/>
    <w:rsid w:val="07434552"/>
    <w:rsid w:val="074F739B"/>
    <w:rsid w:val="07532C86"/>
    <w:rsid w:val="07550729"/>
    <w:rsid w:val="075A7AEE"/>
    <w:rsid w:val="07660D9E"/>
    <w:rsid w:val="0778608B"/>
    <w:rsid w:val="078F7797"/>
    <w:rsid w:val="07B436A2"/>
    <w:rsid w:val="07B471FE"/>
    <w:rsid w:val="07C66EBA"/>
    <w:rsid w:val="07C733D5"/>
    <w:rsid w:val="07E5385B"/>
    <w:rsid w:val="07F22433"/>
    <w:rsid w:val="07FD3751"/>
    <w:rsid w:val="082B5935"/>
    <w:rsid w:val="082C1292"/>
    <w:rsid w:val="083420ED"/>
    <w:rsid w:val="08362309"/>
    <w:rsid w:val="083D3697"/>
    <w:rsid w:val="083D5D6A"/>
    <w:rsid w:val="085669DB"/>
    <w:rsid w:val="08585DDB"/>
    <w:rsid w:val="087477C2"/>
    <w:rsid w:val="0884149B"/>
    <w:rsid w:val="089D78A5"/>
    <w:rsid w:val="08A74FB5"/>
    <w:rsid w:val="08D12C20"/>
    <w:rsid w:val="08E73603"/>
    <w:rsid w:val="08EA5E91"/>
    <w:rsid w:val="08F63846"/>
    <w:rsid w:val="08F8223F"/>
    <w:rsid w:val="08FC64FD"/>
    <w:rsid w:val="08FD49CB"/>
    <w:rsid w:val="09061CDB"/>
    <w:rsid w:val="090F1B9E"/>
    <w:rsid w:val="091361A6"/>
    <w:rsid w:val="09137F54"/>
    <w:rsid w:val="091F4FE6"/>
    <w:rsid w:val="092D54BA"/>
    <w:rsid w:val="09330F1E"/>
    <w:rsid w:val="09367868"/>
    <w:rsid w:val="09442E8E"/>
    <w:rsid w:val="09482C28"/>
    <w:rsid w:val="094E61B6"/>
    <w:rsid w:val="095102A3"/>
    <w:rsid w:val="096B3417"/>
    <w:rsid w:val="09714AB2"/>
    <w:rsid w:val="097C01EF"/>
    <w:rsid w:val="09862E1C"/>
    <w:rsid w:val="098B471C"/>
    <w:rsid w:val="09903C9B"/>
    <w:rsid w:val="099217C1"/>
    <w:rsid w:val="099B1640"/>
    <w:rsid w:val="09A11A04"/>
    <w:rsid w:val="09A92667"/>
    <w:rsid w:val="09C474A0"/>
    <w:rsid w:val="09C921F2"/>
    <w:rsid w:val="09CA5C55"/>
    <w:rsid w:val="09CA622A"/>
    <w:rsid w:val="09DF46E7"/>
    <w:rsid w:val="0A0338DA"/>
    <w:rsid w:val="0A04123D"/>
    <w:rsid w:val="0A0A00B0"/>
    <w:rsid w:val="0A275680"/>
    <w:rsid w:val="0A2B76A7"/>
    <w:rsid w:val="0A2B78A0"/>
    <w:rsid w:val="0A3960E0"/>
    <w:rsid w:val="0A51129D"/>
    <w:rsid w:val="0A51342A"/>
    <w:rsid w:val="0A5B3F01"/>
    <w:rsid w:val="0A6A44EC"/>
    <w:rsid w:val="0A741ED4"/>
    <w:rsid w:val="0A894972"/>
    <w:rsid w:val="0A911A78"/>
    <w:rsid w:val="0A9E3E01"/>
    <w:rsid w:val="0AA25A34"/>
    <w:rsid w:val="0AA32961"/>
    <w:rsid w:val="0AB47E9D"/>
    <w:rsid w:val="0AC51F3F"/>
    <w:rsid w:val="0AD13844"/>
    <w:rsid w:val="0AEC3153"/>
    <w:rsid w:val="0AED4C41"/>
    <w:rsid w:val="0B05584A"/>
    <w:rsid w:val="0B057D70"/>
    <w:rsid w:val="0B112BB9"/>
    <w:rsid w:val="0B136309"/>
    <w:rsid w:val="0B16582B"/>
    <w:rsid w:val="0B297F03"/>
    <w:rsid w:val="0B2A2AC3"/>
    <w:rsid w:val="0B4D3BF1"/>
    <w:rsid w:val="0B5A630E"/>
    <w:rsid w:val="0B7030D5"/>
    <w:rsid w:val="0B740E7F"/>
    <w:rsid w:val="0B7A250D"/>
    <w:rsid w:val="0B7F3FC7"/>
    <w:rsid w:val="0B8D4DCB"/>
    <w:rsid w:val="0B8E1D75"/>
    <w:rsid w:val="0B963AEC"/>
    <w:rsid w:val="0B9C3825"/>
    <w:rsid w:val="0BA3661B"/>
    <w:rsid w:val="0BA74F00"/>
    <w:rsid w:val="0BBA2A87"/>
    <w:rsid w:val="0BBE4AEF"/>
    <w:rsid w:val="0BC4547A"/>
    <w:rsid w:val="0BC63EC1"/>
    <w:rsid w:val="0BE46327"/>
    <w:rsid w:val="0BE638FA"/>
    <w:rsid w:val="0BE65DF4"/>
    <w:rsid w:val="0BE8391A"/>
    <w:rsid w:val="0BEF20AF"/>
    <w:rsid w:val="0BF91683"/>
    <w:rsid w:val="0C09009F"/>
    <w:rsid w:val="0C1E0792"/>
    <w:rsid w:val="0C2B15D0"/>
    <w:rsid w:val="0C32639D"/>
    <w:rsid w:val="0C3D1EB8"/>
    <w:rsid w:val="0C455461"/>
    <w:rsid w:val="0C4C3EA9"/>
    <w:rsid w:val="0C6D1992"/>
    <w:rsid w:val="0C7726C4"/>
    <w:rsid w:val="0C9238CE"/>
    <w:rsid w:val="0C965C72"/>
    <w:rsid w:val="0C992E66"/>
    <w:rsid w:val="0CAA6C73"/>
    <w:rsid w:val="0CB65074"/>
    <w:rsid w:val="0CCF3A30"/>
    <w:rsid w:val="0CF14A50"/>
    <w:rsid w:val="0D0C188A"/>
    <w:rsid w:val="0D1568AE"/>
    <w:rsid w:val="0D156991"/>
    <w:rsid w:val="0D174B08"/>
    <w:rsid w:val="0D3A45BA"/>
    <w:rsid w:val="0D3B5CCB"/>
    <w:rsid w:val="0D42550E"/>
    <w:rsid w:val="0D444B80"/>
    <w:rsid w:val="0D4B4161"/>
    <w:rsid w:val="0D4B549C"/>
    <w:rsid w:val="0D553231"/>
    <w:rsid w:val="0D6618DB"/>
    <w:rsid w:val="0D7F02AE"/>
    <w:rsid w:val="0D892EDB"/>
    <w:rsid w:val="0D991A7F"/>
    <w:rsid w:val="0D9C10BE"/>
    <w:rsid w:val="0DAF4009"/>
    <w:rsid w:val="0DB530B3"/>
    <w:rsid w:val="0DB71B59"/>
    <w:rsid w:val="0DC256A0"/>
    <w:rsid w:val="0DC877EB"/>
    <w:rsid w:val="0DCA5C92"/>
    <w:rsid w:val="0DCF130F"/>
    <w:rsid w:val="0DDA7292"/>
    <w:rsid w:val="0DDD6D83"/>
    <w:rsid w:val="0DDF0D4D"/>
    <w:rsid w:val="0DE92E15"/>
    <w:rsid w:val="0DF52065"/>
    <w:rsid w:val="0E122ED0"/>
    <w:rsid w:val="0E2844A2"/>
    <w:rsid w:val="0E361E8B"/>
    <w:rsid w:val="0E3B5C18"/>
    <w:rsid w:val="0E3C619F"/>
    <w:rsid w:val="0E482A4A"/>
    <w:rsid w:val="0E51245E"/>
    <w:rsid w:val="0E565FC4"/>
    <w:rsid w:val="0E6A2D0C"/>
    <w:rsid w:val="0E6C091B"/>
    <w:rsid w:val="0E6D5581"/>
    <w:rsid w:val="0E7717C7"/>
    <w:rsid w:val="0E77198B"/>
    <w:rsid w:val="0E7D5AD6"/>
    <w:rsid w:val="0E911A8E"/>
    <w:rsid w:val="0EB4605E"/>
    <w:rsid w:val="0EB67D00"/>
    <w:rsid w:val="0EBE4E06"/>
    <w:rsid w:val="0ED76F15"/>
    <w:rsid w:val="0EF937E9"/>
    <w:rsid w:val="0EFE5203"/>
    <w:rsid w:val="0F040A6B"/>
    <w:rsid w:val="0F12144F"/>
    <w:rsid w:val="0F1E5075"/>
    <w:rsid w:val="0F2509CA"/>
    <w:rsid w:val="0F47710D"/>
    <w:rsid w:val="0F644584"/>
    <w:rsid w:val="0F794A46"/>
    <w:rsid w:val="0F7F00F1"/>
    <w:rsid w:val="0F7F1D48"/>
    <w:rsid w:val="0F821737"/>
    <w:rsid w:val="0F8A6A96"/>
    <w:rsid w:val="0F8E47D8"/>
    <w:rsid w:val="0F900A8A"/>
    <w:rsid w:val="0F9C5147"/>
    <w:rsid w:val="0FA07C49"/>
    <w:rsid w:val="0FAB7792"/>
    <w:rsid w:val="0FAC4C5F"/>
    <w:rsid w:val="0FB32196"/>
    <w:rsid w:val="0FBF2392"/>
    <w:rsid w:val="0FE830D4"/>
    <w:rsid w:val="0FED1F54"/>
    <w:rsid w:val="0FFE611E"/>
    <w:rsid w:val="101C1DE4"/>
    <w:rsid w:val="101D790A"/>
    <w:rsid w:val="10262C63"/>
    <w:rsid w:val="102F7D69"/>
    <w:rsid w:val="1034712E"/>
    <w:rsid w:val="105A290D"/>
    <w:rsid w:val="105A46BB"/>
    <w:rsid w:val="10613C9B"/>
    <w:rsid w:val="10664B9A"/>
    <w:rsid w:val="10692AC2"/>
    <w:rsid w:val="106B68C8"/>
    <w:rsid w:val="1096176D"/>
    <w:rsid w:val="109C4CD3"/>
    <w:rsid w:val="10B262A5"/>
    <w:rsid w:val="10DD651F"/>
    <w:rsid w:val="10EA0B23"/>
    <w:rsid w:val="10EF2566"/>
    <w:rsid w:val="10F24918"/>
    <w:rsid w:val="10F66AD9"/>
    <w:rsid w:val="111725AC"/>
    <w:rsid w:val="112B7C66"/>
    <w:rsid w:val="112E439B"/>
    <w:rsid w:val="114B0EF0"/>
    <w:rsid w:val="1156369B"/>
    <w:rsid w:val="115B4B8E"/>
    <w:rsid w:val="1167027B"/>
    <w:rsid w:val="116752E1"/>
    <w:rsid w:val="116779EF"/>
    <w:rsid w:val="116E041E"/>
    <w:rsid w:val="11895257"/>
    <w:rsid w:val="118B3557"/>
    <w:rsid w:val="11904EFF"/>
    <w:rsid w:val="119A56B6"/>
    <w:rsid w:val="119F43A3"/>
    <w:rsid w:val="11A51285"/>
    <w:rsid w:val="11AC53EA"/>
    <w:rsid w:val="11B12A00"/>
    <w:rsid w:val="11BA3663"/>
    <w:rsid w:val="11DE047F"/>
    <w:rsid w:val="11EB5F12"/>
    <w:rsid w:val="11EC3A38"/>
    <w:rsid w:val="11F44D14"/>
    <w:rsid w:val="11FF2953"/>
    <w:rsid w:val="120C46AB"/>
    <w:rsid w:val="120E7E53"/>
    <w:rsid w:val="12105979"/>
    <w:rsid w:val="121960FF"/>
    <w:rsid w:val="121B639E"/>
    <w:rsid w:val="121E62E8"/>
    <w:rsid w:val="122417D0"/>
    <w:rsid w:val="122F0E14"/>
    <w:rsid w:val="123553DF"/>
    <w:rsid w:val="12356F6E"/>
    <w:rsid w:val="12434F9C"/>
    <w:rsid w:val="12444B73"/>
    <w:rsid w:val="124B4C03"/>
    <w:rsid w:val="125360FB"/>
    <w:rsid w:val="125A27F4"/>
    <w:rsid w:val="12750005"/>
    <w:rsid w:val="127C6B6A"/>
    <w:rsid w:val="127D3A9F"/>
    <w:rsid w:val="128C1C6D"/>
    <w:rsid w:val="12906AB9"/>
    <w:rsid w:val="12913BB7"/>
    <w:rsid w:val="12917AE1"/>
    <w:rsid w:val="12970375"/>
    <w:rsid w:val="12B5154F"/>
    <w:rsid w:val="12E54A8E"/>
    <w:rsid w:val="12E62DBF"/>
    <w:rsid w:val="12F03242"/>
    <w:rsid w:val="12F928B1"/>
    <w:rsid w:val="13053004"/>
    <w:rsid w:val="13165211"/>
    <w:rsid w:val="13247E82"/>
    <w:rsid w:val="132A2A6A"/>
    <w:rsid w:val="132D1193"/>
    <w:rsid w:val="134E49AB"/>
    <w:rsid w:val="13570B69"/>
    <w:rsid w:val="137E7A43"/>
    <w:rsid w:val="139A6F99"/>
    <w:rsid w:val="139B3968"/>
    <w:rsid w:val="13AD3CD5"/>
    <w:rsid w:val="13B90E08"/>
    <w:rsid w:val="13EA6BD4"/>
    <w:rsid w:val="1402336B"/>
    <w:rsid w:val="140426E0"/>
    <w:rsid w:val="140E61A8"/>
    <w:rsid w:val="14171240"/>
    <w:rsid w:val="141D437D"/>
    <w:rsid w:val="141F6347"/>
    <w:rsid w:val="142179C9"/>
    <w:rsid w:val="142459EF"/>
    <w:rsid w:val="14276FAA"/>
    <w:rsid w:val="143C0CA7"/>
    <w:rsid w:val="143E2923"/>
    <w:rsid w:val="14467430"/>
    <w:rsid w:val="144F714F"/>
    <w:rsid w:val="14581832"/>
    <w:rsid w:val="14773EFC"/>
    <w:rsid w:val="14BC599F"/>
    <w:rsid w:val="14BF24DC"/>
    <w:rsid w:val="14C02644"/>
    <w:rsid w:val="14C447F8"/>
    <w:rsid w:val="14CB3DD9"/>
    <w:rsid w:val="14E367F3"/>
    <w:rsid w:val="14EE3D05"/>
    <w:rsid w:val="150F0169"/>
    <w:rsid w:val="150F2261"/>
    <w:rsid w:val="15310D02"/>
    <w:rsid w:val="15325C06"/>
    <w:rsid w:val="15400323"/>
    <w:rsid w:val="15567E4C"/>
    <w:rsid w:val="156F6E5A"/>
    <w:rsid w:val="158A5508"/>
    <w:rsid w:val="159C5982"/>
    <w:rsid w:val="15B11221"/>
    <w:rsid w:val="15CF145B"/>
    <w:rsid w:val="15E64190"/>
    <w:rsid w:val="15F97638"/>
    <w:rsid w:val="16002E23"/>
    <w:rsid w:val="16041350"/>
    <w:rsid w:val="16135A37"/>
    <w:rsid w:val="161F023A"/>
    <w:rsid w:val="162C6AF9"/>
    <w:rsid w:val="16346D54"/>
    <w:rsid w:val="1638549E"/>
    <w:rsid w:val="16466CE3"/>
    <w:rsid w:val="165C73DE"/>
    <w:rsid w:val="166318FC"/>
    <w:rsid w:val="166C2BB0"/>
    <w:rsid w:val="1672275E"/>
    <w:rsid w:val="169013B7"/>
    <w:rsid w:val="16B07251"/>
    <w:rsid w:val="16DA0303"/>
    <w:rsid w:val="16E737EA"/>
    <w:rsid w:val="1715758D"/>
    <w:rsid w:val="172F1D00"/>
    <w:rsid w:val="173114BF"/>
    <w:rsid w:val="17342759"/>
    <w:rsid w:val="173C4B1A"/>
    <w:rsid w:val="174D4F79"/>
    <w:rsid w:val="175C51BC"/>
    <w:rsid w:val="177E7460"/>
    <w:rsid w:val="17A13A96"/>
    <w:rsid w:val="17A34B99"/>
    <w:rsid w:val="17A821AF"/>
    <w:rsid w:val="17AA503D"/>
    <w:rsid w:val="17AD456C"/>
    <w:rsid w:val="17B40B54"/>
    <w:rsid w:val="17BD71C9"/>
    <w:rsid w:val="17C75684"/>
    <w:rsid w:val="17D023BA"/>
    <w:rsid w:val="17D05227"/>
    <w:rsid w:val="17DB07D7"/>
    <w:rsid w:val="17DE76D2"/>
    <w:rsid w:val="17E7551F"/>
    <w:rsid w:val="17F772FA"/>
    <w:rsid w:val="17F96393"/>
    <w:rsid w:val="17FF45F9"/>
    <w:rsid w:val="18142EF6"/>
    <w:rsid w:val="18365CFA"/>
    <w:rsid w:val="18617A04"/>
    <w:rsid w:val="186949CE"/>
    <w:rsid w:val="18727B70"/>
    <w:rsid w:val="187431AF"/>
    <w:rsid w:val="18925A08"/>
    <w:rsid w:val="189D2014"/>
    <w:rsid w:val="18B31B6D"/>
    <w:rsid w:val="18B74823"/>
    <w:rsid w:val="18B94865"/>
    <w:rsid w:val="18D07C10"/>
    <w:rsid w:val="18D93032"/>
    <w:rsid w:val="18D9791A"/>
    <w:rsid w:val="18DE5A14"/>
    <w:rsid w:val="18ED2570"/>
    <w:rsid w:val="18F338FE"/>
    <w:rsid w:val="18FB5DF1"/>
    <w:rsid w:val="191F46F3"/>
    <w:rsid w:val="19271F9B"/>
    <w:rsid w:val="19361B10"/>
    <w:rsid w:val="193C4FA0"/>
    <w:rsid w:val="193F21E0"/>
    <w:rsid w:val="19516FA3"/>
    <w:rsid w:val="19542C33"/>
    <w:rsid w:val="19794F42"/>
    <w:rsid w:val="197A719F"/>
    <w:rsid w:val="197E74EA"/>
    <w:rsid w:val="19897100"/>
    <w:rsid w:val="198F754C"/>
    <w:rsid w:val="19940C04"/>
    <w:rsid w:val="199B021E"/>
    <w:rsid w:val="19A54BF8"/>
    <w:rsid w:val="19B0319C"/>
    <w:rsid w:val="19B16EF2"/>
    <w:rsid w:val="19C213AC"/>
    <w:rsid w:val="19EE47F1"/>
    <w:rsid w:val="1A13008F"/>
    <w:rsid w:val="1A147FD0"/>
    <w:rsid w:val="1A253F8B"/>
    <w:rsid w:val="1A2A3F5E"/>
    <w:rsid w:val="1A3A3565"/>
    <w:rsid w:val="1A402B73"/>
    <w:rsid w:val="1A557101"/>
    <w:rsid w:val="1A580283"/>
    <w:rsid w:val="1A78055F"/>
    <w:rsid w:val="1A8567D8"/>
    <w:rsid w:val="1A9A6727"/>
    <w:rsid w:val="1AA90ECC"/>
    <w:rsid w:val="1AB410CC"/>
    <w:rsid w:val="1AB803A1"/>
    <w:rsid w:val="1ABA2B30"/>
    <w:rsid w:val="1AC32334"/>
    <w:rsid w:val="1AC437A4"/>
    <w:rsid w:val="1AC5149A"/>
    <w:rsid w:val="1ACD08AB"/>
    <w:rsid w:val="1AD05CA5"/>
    <w:rsid w:val="1ADA4D76"/>
    <w:rsid w:val="1ADF413A"/>
    <w:rsid w:val="1AEE125C"/>
    <w:rsid w:val="1AF17E84"/>
    <w:rsid w:val="1AF851FC"/>
    <w:rsid w:val="1B0F349B"/>
    <w:rsid w:val="1B153D75"/>
    <w:rsid w:val="1B1C713C"/>
    <w:rsid w:val="1B2D1349"/>
    <w:rsid w:val="1B375BAA"/>
    <w:rsid w:val="1B376CC0"/>
    <w:rsid w:val="1B3A5814"/>
    <w:rsid w:val="1B4E49C5"/>
    <w:rsid w:val="1B4F69B3"/>
    <w:rsid w:val="1B512863"/>
    <w:rsid w:val="1B574618"/>
    <w:rsid w:val="1B66605B"/>
    <w:rsid w:val="1B670CB1"/>
    <w:rsid w:val="1B690B70"/>
    <w:rsid w:val="1B70572B"/>
    <w:rsid w:val="1B7156DA"/>
    <w:rsid w:val="1B936BA3"/>
    <w:rsid w:val="1B976383"/>
    <w:rsid w:val="1BA01B1B"/>
    <w:rsid w:val="1BB00CC7"/>
    <w:rsid w:val="1BB4407E"/>
    <w:rsid w:val="1BC82E20"/>
    <w:rsid w:val="1BC97070"/>
    <w:rsid w:val="1BD45C69"/>
    <w:rsid w:val="1BE82CDC"/>
    <w:rsid w:val="1C1027E3"/>
    <w:rsid w:val="1C116575"/>
    <w:rsid w:val="1C1D316C"/>
    <w:rsid w:val="1C243530"/>
    <w:rsid w:val="1C273FEB"/>
    <w:rsid w:val="1C277060"/>
    <w:rsid w:val="1C362480"/>
    <w:rsid w:val="1C4A4544"/>
    <w:rsid w:val="1C52454B"/>
    <w:rsid w:val="1C535684"/>
    <w:rsid w:val="1C575A74"/>
    <w:rsid w:val="1C640D9B"/>
    <w:rsid w:val="1C7342F4"/>
    <w:rsid w:val="1C872CDB"/>
    <w:rsid w:val="1C952F92"/>
    <w:rsid w:val="1C9E6695"/>
    <w:rsid w:val="1CA55CED"/>
    <w:rsid w:val="1CA80836"/>
    <w:rsid w:val="1CA92DDE"/>
    <w:rsid w:val="1CB955EE"/>
    <w:rsid w:val="1CCA3A08"/>
    <w:rsid w:val="1CCA5E18"/>
    <w:rsid w:val="1CD549F2"/>
    <w:rsid w:val="1CE26164"/>
    <w:rsid w:val="1CE974F2"/>
    <w:rsid w:val="1CF87735"/>
    <w:rsid w:val="1D0B5FA6"/>
    <w:rsid w:val="1D0D3C96"/>
    <w:rsid w:val="1D1D0F4A"/>
    <w:rsid w:val="1D216C8C"/>
    <w:rsid w:val="1D280E72"/>
    <w:rsid w:val="1D291FE4"/>
    <w:rsid w:val="1D2D0D09"/>
    <w:rsid w:val="1D3C4485"/>
    <w:rsid w:val="1D475861"/>
    <w:rsid w:val="1D51059E"/>
    <w:rsid w:val="1D5C5F16"/>
    <w:rsid w:val="1D65142D"/>
    <w:rsid w:val="1D7510CB"/>
    <w:rsid w:val="1D753BCE"/>
    <w:rsid w:val="1D76522A"/>
    <w:rsid w:val="1D807CC2"/>
    <w:rsid w:val="1D88549A"/>
    <w:rsid w:val="1DAD0CA0"/>
    <w:rsid w:val="1DB06ED8"/>
    <w:rsid w:val="1DC46673"/>
    <w:rsid w:val="1DCA794D"/>
    <w:rsid w:val="1DCE0672"/>
    <w:rsid w:val="1DD41F50"/>
    <w:rsid w:val="1DDF7A40"/>
    <w:rsid w:val="1DE228BA"/>
    <w:rsid w:val="1DE6017F"/>
    <w:rsid w:val="1E0C793C"/>
    <w:rsid w:val="1E1660C5"/>
    <w:rsid w:val="1E192E52"/>
    <w:rsid w:val="1E1D46AD"/>
    <w:rsid w:val="1E1D56A5"/>
    <w:rsid w:val="1E236A34"/>
    <w:rsid w:val="1E2A7DC2"/>
    <w:rsid w:val="1E2E1FEF"/>
    <w:rsid w:val="1E3068C3"/>
    <w:rsid w:val="1E4A3FC0"/>
    <w:rsid w:val="1E5037DD"/>
    <w:rsid w:val="1E621476"/>
    <w:rsid w:val="1E63547B"/>
    <w:rsid w:val="1E7D4396"/>
    <w:rsid w:val="1E8219AC"/>
    <w:rsid w:val="1E8A768D"/>
    <w:rsid w:val="1EA0669C"/>
    <w:rsid w:val="1EAC07D7"/>
    <w:rsid w:val="1EB37DB8"/>
    <w:rsid w:val="1EC51899"/>
    <w:rsid w:val="1ECB7DF7"/>
    <w:rsid w:val="1EFB52BB"/>
    <w:rsid w:val="1EFC095C"/>
    <w:rsid w:val="1EFD3CFF"/>
    <w:rsid w:val="1F046A99"/>
    <w:rsid w:val="1F0B3750"/>
    <w:rsid w:val="1F0D1E03"/>
    <w:rsid w:val="1F152820"/>
    <w:rsid w:val="1F2D7C18"/>
    <w:rsid w:val="1F360D5F"/>
    <w:rsid w:val="1F374545"/>
    <w:rsid w:val="1F38206B"/>
    <w:rsid w:val="1F525CE0"/>
    <w:rsid w:val="1F617814"/>
    <w:rsid w:val="1F6B41EE"/>
    <w:rsid w:val="1F737547"/>
    <w:rsid w:val="1F870BD1"/>
    <w:rsid w:val="1F8A4EEE"/>
    <w:rsid w:val="1F941997"/>
    <w:rsid w:val="1F9759D3"/>
    <w:rsid w:val="1FA77186"/>
    <w:rsid w:val="1FAB2764"/>
    <w:rsid w:val="1FAE4E0D"/>
    <w:rsid w:val="1FB032B3"/>
    <w:rsid w:val="1FB45B95"/>
    <w:rsid w:val="1FC5528F"/>
    <w:rsid w:val="1FE10954"/>
    <w:rsid w:val="1FE6AF53"/>
    <w:rsid w:val="1FEB3581"/>
    <w:rsid w:val="1FF13E14"/>
    <w:rsid w:val="1FF266BE"/>
    <w:rsid w:val="20005BEB"/>
    <w:rsid w:val="20185258"/>
    <w:rsid w:val="203647FC"/>
    <w:rsid w:val="20371552"/>
    <w:rsid w:val="203C3DDD"/>
    <w:rsid w:val="2041670A"/>
    <w:rsid w:val="20422AF1"/>
    <w:rsid w:val="204B1825"/>
    <w:rsid w:val="2091237A"/>
    <w:rsid w:val="2099122F"/>
    <w:rsid w:val="20994D8B"/>
    <w:rsid w:val="20A91472"/>
    <w:rsid w:val="20B87907"/>
    <w:rsid w:val="20C95670"/>
    <w:rsid w:val="20D25D73"/>
    <w:rsid w:val="20D90C6A"/>
    <w:rsid w:val="20F22BFA"/>
    <w:rsid w:val="20F55593"/>
    <w:rsid w:val="20FF5536"/>
    <w:rsid w:val="21056B7A"/>
    <w:rsid w:val="210B6072"/>
    <w:rsid w:val="21197C6C"/>
    <w:rsid w:val="21294FF9"/>
    <w:rsid w:val="212B54F8"/>
    <w:rsid w:val="213717DB"/>
    <w:rsid w:val="213B5E42"/>
    <w:rsid w:val="21442C28"/>
    <w:rsid w:val="215313DE"/>
    <w:rsid w:val="215B6085"/>
    <w:rsid w:val="21677A63"/>
    <w:rsid w:val="217243A3"/>
    <w:rsid w:val="219F0AC7"/>
    <w:rsid w:val="21AB33ED"/>
    <w:rsid w:val="21B52994"/>
    <w:rsid w:val="21C61BB0"/>
    <w:rsid w:val="21C63B45"/>
    <w:rsid w:val="21D02A2F"/>
    <w:rsid w:val="21EC76F0"/>
    <w:rsid w:val="22167CCA"/>
    <w:rsid w:val="22194DD3"/>
    <w:rsid w:val="221A1EFC"/>
    <w:rsid w:val="222B216B"/>
    <w:rsid w:val="224439AE"/>
    <w:rsid w:val="2247774C"/>
    <w:rsid w:val="224C4757"/>
    <w:rsid w:val="22511D94"/>
    <w:rsid w:val="225A0C09"/>
    <w:rsid w:val="225D0766"/>
    <w:rsid w:val="226D0A6C"/>
    <w:rsid w:val="227A6AB2"/>
    <w:rsid w:val="228219CA"/>
    <w:rsid w:val="22A87507"/>
    <w:rsid w:val="22B02AA9"/>
    <w:rsid w:val="22B449F7"/>
    <w:rsid w:val="22C24A6D"/>
    <w:rsid w:val="22E04EF3"/>
    <w:rsid w:val="22E5250A"/>
    <w:rsid w:val="22EF5136"/>
    <w:rsid w:val="22F77472"/>
    <w:rsid w:val="22FF63AF"/>
    <w:rsid w:val="23044443"/>
    <w:rsid w:val="230C2D7D"/>
    <w:rsid w:val="231E15F1"/>
    <w:rsid w:val="232426E5"/>
    <w:rsid w:val="232C638A"/>
    <w:rsid w:val="234429CC"/>
    <w:rsid w:val="23490CEA"/>
    <w:rsid w:val="234D6EBF"/>
    <w:rsid w:val="235D6544"/>
    <w:rsid w:val="23616034"/>
    <w:rsid w:val="23711FEF"/>
    <w:rsid w:val="237C0080"/>
    <w:rsid w:val="23930B9F"/>
    <w:rsid w:val="23A423C5"/>
    <w:rsid w:val="23AC105A"/>
    <w:rsid w:val="23B24AE2"/>
    <w:rsid w:val="23B95E70"/>
    <w:rsid w:val="23C40371"/>
    <w:rsid w:val="23C83794"/>
    <w:rsid w:val="23C95987"/>
    <w:rsid w:val="23D3133D"/>
    <w:rsid w:val="23E32EED"/>
    <w:rsid w:val="23EA34CF"/>
    <w:rsid w:val="23F15571"/>
    <w:rsid w:val="240370EB"/>
    <w:rsid w:val="24106C02"/>
    <w:rsid w:val="24154BFA"/>
    <w:rsid w:val="244514B2"/>
    <w:rsid w:val="244A2A50"/>
    <w:rsid w:val="24537E66"/>
    <w:rsid w:val="245F19BC"/>
    <w:rsid w:val="24620CBA"/>
    <w:rsid w:val="2463402E"/>
    <w:rsid w:val="247543AA"/>
    <w:rsid w:val="247E49C4"/>
    <w:rsid w:val="248E2062"/>
    <w:rsid w:val="24944D5C"/>
    <w:rsid w:val="24A84769"/>
    <w:rsid w:val="24B403E6"/>
    <w:rsid w:val="24B85758"/>
    <w:rsid w:val="24C12ADC"/>
    <w:rsid w:val="24CC3981"/>
    <w:rsid w:val="24E4312F"/>
    <w:rsid w:val="24FB7DC2"/>
    <w:rsid w:val="25145328"/>
    <w:rsid w:val="251C0932"/>
    <w:rsid w:val="251F746E"/>
    <w:rsid w:val="25250CAC"/>
    <w:rsid w:val="2527505B"/>
    <w:rsid w:val="25333A00"/>
    <w:rsid w:val="254554E2"/>
    <w:rsid w:val="255C6646"/>
    <w:rsid w:val="2573204F"/>
    <w:rsid w:val="25740A1A"/>
    <w:rsid w:val="258532A7"/>
    <w:rsid w:val="259D7EA9"/>
    <w:rsid w:val="25A637AB"/>
    <w:rsid w:val="25AE752B"/>
    <w:rsid w:val="25B06295"/>
    <w:rsid w:val="25B16C9D"/>
    <w:rsid w:val="25BA1A2C"/>
    <w:rsid w:val="25BA7ED1"/>
    <w:rsid w:val="25CB4B8A"/>
    <w:rsid w:val="25D03B83"/>
    <w:rsid w:val="25E46AA9"/>
    <w:rsid w:val="261528F9"/>
    <w:rsid w:val="26152DFC"/>
    <w:rsid w:val="262525E5"/>
    <w:rsid w:val="26303F31"/>
    <w:rsid w:val="26306192"/>
    <w:rsid w:val="263C3EBB"/>
    <w:rsid w:val="26542FC2"/>
    <w:rsid w:val="265A5277"/>
    <w:rsid w:val="266704EE"/>
    <w:rsid w:val="26747E2C"/>
    <w:rsid w:val="268078E7"/>
    <w:rsid w:val="268C0615"/>
    <w:rsid w:val="268C786C"/>
    <w:rsid w:val="26902A34"/>
    <w:rsid w:val="26A36964"/>
    <w:rsid w:val="26A506AA"/>
    <w:rsid w:val="26AA5F44"/>
    <w:rsid w:val="26B741BD"/>
    <w:rsid w:val="26F421D8"/>
    <w:rsid w:val="273C0EE5"/>
    <w:rsid w:val="273E7960"/>
    <w:rsid w:val="27400656"/>
    <w:rsid w:val="274A3283"/>
    <w:rsid w:val="27512447"/>
    <w:rsid w:val="27512873"/>
    <w:rsid w:val="275D2FB6"/>
    <w:rsid w:val="27713610"/>
    <w:rsid w:val="27765E26"/>
    <w:rsid w:val="27816C7E"/>
    <w:rsid w:val="27CB17C8"/>
    <w:rsid w:val="27D176FB"/>
    <w:rsid w:val="27E40FE2"/>
    <w:rsid w:val="27E92A9C"/>
    <w:rsid w:val="27E931DF"/>
    <w:rsid w:val="280653FC"/>
    <w:rsid w:val="28071565"/>
    <w:rsid w:val="2815174F"/>
    <w:rsid w:val="281A4A03"/>
    <w:rsid w:val="28237D5C"/>
    <w:rsid w:val="2826784C"/>
    <w:rsid w:val="28441A80"/>
    <w:rsid w:val="2844544B"/>
    <w:rsid w:val="284D302B"/>
    <w:rsid w:val="28555C7C"/>
    <w:rsid w:val="28602A0B"/>
    <w:rsid w:val="28681C04"/>
    <w:rsid w:val="28A013AD"/>
    <w:rsid w:val="28BB4C87"/>
    <w:rsid w:val="28BC18CA"/>
    <w:rsid w:val="28CC1132"/>
    <w:rsid w:val="28E7767C"/>
    <w:rsid w:val="28F65471"/>
    <w:rsid w:val="291B489A"/>
    <w:rsid w:val="29262C2A"/>
    <w:rsid w:val="29283150"/>
    <w:rsid w:val="29310257"/>
    <w:rsid w:val="29332221"/>
    <w:rsid w:val="295B5CCB"/>
    <w:rsid w:val="29610FA8"/>
    <w:rsid w:val="29617E99"/>
    <w:rsid w:val="298244EE"/>
    <w:rsid w:val="298438F5"/>
    <w:rsid w:val="29915199"/>
    <w:rsid w:val="29BA46F0"/>
    <w:rsid w:val="29C820D5"/>
    <w:rsid w:val="29CE7267"/>
    <w:rsid w:val="29DE45E0"/>
    <w:rsid w:val="29E10A47"/>
    <w:rsid w:val="29F80D74"/>
    <w:rsid w:val="2A0C569A"/>
    <w:rsid w:val="2A1B583C"/>
    <w:rsid w:val="2A1D6A2D"/>
    <w:rsid w:val="2A1E6D08"/>
    <w:rsid w:val="2A21103E"/>
    <w:rsid w:val="2A307D13"/>
    <w:rsid w:val="2A34079D"/>
    <w:rsid w:val="2A3616DA"/>
    <w:rsid w:val="2A362D96"/>
    <w:rsid w:val="2A385615"/>
    <w:rsid w:val="2A3D2C2B"/>
    <w:rsid w:val="2A57783A"/>
    <w:rsid w:val="2A5C213D"/>
    <w:rsid w:val="2A663F30"/>
    <w:rsid w:val="2A6C52BE"/>
    <w:rsid w:val="2A77438F"/>
    <w:rsid w:val="2A972756"/>
    <w:rsid w:val="2AAD7DB1"/>
    <w:rsid w:val="2ADE7F6A"/>
    <w:rsid w:val="2AF21C68"/>
    <w:rsid w:val="2B0129FE"/>
    <w:rsid w:val="2B033E75"/>
    <w:rsid w:val="2B110340"/>
    <w:rsid w:val="2B184107"/>
    <w:rsid w:val="2B200A52"/>
    <w:rsid w:val="2B326FC5"/>
    <w:rsid w:val="2B34402E"/>
    <w:rsid w:val="2B3C2EE3"/>
    <w:rsid w:val="2B400742"/>
    <w:rsid w:val="2B606BD1"/>
    <w:rsid w:val="2B667F60"/>
    <w:rsid w:val="2B724B56"/>
    <w:rsid w:val="2B795EE5"/>
    <w:rsid w:val="2B7C1F23"/>
    <w:rsid w:val="2B7D534D"/>
    <w:rsid w:val="2B817065"/>
    <w:rsid w:val="2B870602"/>
    <w:rsid w:val="2B99031D"/>
    <w:rsid w:val="2BA34CD4"/>
    <w:rsid w:val="2BAC0545"/>
    <w:rsid w:val="2BD82C0B"/>
    <w:rsid w:val="2BDB2782"/>
    <w:rsid w:val="2BE23A8A"/>
    <w:rsid w:val="2BEC1F8A"/>
    <w:rsid w:val="2BF11F1F"/>
    <w:rsid w:val="2BFE0306"/>
    <w:rsid w:val="2C09185D"/>
    <w:rsid w:val="2C30663F"/>
    <w:rsid w:val="2C332538"/>
    <w:rsid w:val="2C3B46EC"/>
    <w:rsid w:val="2C3C763E"/>
    <w:rsid w:val="2C506C46"/>
    <w:rsid w:val="2C5524AE"/>
    <w:rsid w:val="2C822D02"/>
    <w:rsid w:val="2C8272B1"/>
    <w:rsid w:val="2C83526D"/>
    <w:rsid w:val="2C943567"/>
    <w:rsid w:val="2CA84CD4"/>
    <w:rsid w:val="2CC4311F"/>
    <w:rsid w:val="2CD418C9"/>
    <w:rsid w:val="2CD43AF2"/>
    <w:rsid w:val="2CD47877"/>
    <w:rsid w:val="2CDE6947"/>
    <w:rsid w:val="2CE850D0"/>
    <w:rsid w:val="2CF02E0A"/>
    <w:rsid w:val="2D0D2ED3"/>
    <w:rsid w:val="2D19172E"/>
    <w:rsid w:val="2D1E4F96"/>
    <w:rsid w:val="2D2F4371"/>
    <w:rsid w:val="2D412A32"/>
    <w:rsid w:val="2D4D7B07"/>
    <w:rsid w:val="2D5524DE"/>
    <w:rsid w:val="2D556021"/>
    <w:rsid w:val="2D564730"/>
    <w:rsid w:val="2D662499"/>
    <w:rsid w:val="2D6F3D12"/>
    <w:rsid w:val="2D7070E6"/>
    <w:rsid w:val="2D727090"/>
    <w:rsid w:val="2D757EA0"/>
    <w:rsid w:val="2D99286E"/>
    <w:rsid w:val="2D9E1C33"/>
    <w:rsid w:val="2DA21723"/>
    <w:rsid w:val="2DAD2FB3"/>
    <w:rsid w:val="2DBF4DF8"/>
    <w:rsid w:val="2DC4288F"/>
    <w:rsid w:val="2DCC67A0"/>
    <w:rsid w:val="2DD90C8E"/>
    <w:rsid w:val="2DD92C6B"/>
    <w:rsid w:val="2DDA1437"/>
    <w:rsid w:val="2DE45925"/>
    <w:rsid w:val="2DF232BF"/>
    <w:rsid w:val="2DF773CE"/>
    <w:rsid w:val="2DFF6B75"/>
    <w:rsid w:val="2E0917A2"/>
    <w:rsid w:val="2E0A72C8"/>
    <w:rsid w:val="2E13617D"/>
    <w:rsid w:val="2E2A34C6"/>
    <w:rsid w:val="2E36450D"/>
    <w:rsid w:val="2E374561"/>
    <w:rsid w:val="2E3C4A79"/>
    <w:rsid w:val="2E440819"/>
    <w:rsid w:val="2E487A34"/>
    <w:rsid w:val="2E67471B"/>
    <w:rsid w:val="2E783F54"/>
    <w:rsid w:val="2E7B04DD"/>
    <w:rsid w:val="2E8452CD"/>
    <w:rsid w:val="2EB427DD"/>
    <w:rsid w:val="2EBC7D67"/>
    <w:rsid w:val="2EBE07DF"/>
    <w:rsid w:val="2EC17F9C"/>
    <w:rsid w:val="2EC21951"/>
    <w:rsid w:val="2ECC5991"/>
    <w:rsid w:val="2EE46F4B"/>
    <w:rsid w:val="2EE850B0"/>
    <w:rsid w:val="2EEC70D0"/>
    <w:rsid w:val="2EF17758"/>
    <w:rsid w:val="2F191EB9"/>
    <w:rsid w:val="2F2B1BEC"/>
    <w:rsid w:val="2F35531B"/>
    <w:rsid w:val="2F4607D4"/>
    <w:rsid w:val="2F822586"/>
    <w:rsid w:val="2F917CA1"/>
    <w:rsid w:val="2F921838"/>
    <w:rsid w:val="2F9432ED"/>
    <w:rsid w:val="2FA07D14"/>
    <w:rsid w:val="2FA26064"/>
    <w:rsid w:val="2FC13C59"/>
    <w:rsid w:val="2FD947FC"/>
    <w:rsid w:val="300A1801"/>
    <w:rsid w:val="300C2F90"/>
    <w:rsid w:val="301878B5"/>
    <w:rsid w:val="302E38C9"/>
    <w:rsid w:val="30386983"/>
    <w:rsid w:val="30421169"/>
    <w:rsid w:val="30430644"/>
    <w:rsid w:val="305111DE"/>
    <w:rsid w:val="30536D05"/>
    <w:rsid w:val="3059137B"/>
    <w:rsid w:val="306C7DC6"/>
    <w:rsid w:val="307C0A59"/>
    <w:rsid w:val="307F5D4C"/>
    <w:rsid w:val="308E72D3"/>
    <w:rsid w:val="30922B28"/>
    <w:rsid w:val="30937A49"/>
    <w:rsid w:val="30C314F0"/>
    <w:rsid w:val="30CA5B14"/>
    <w:rsid w:val="30D10B44"/>
    <w:rsid w:val="30F90432"/>
    <w:rsid w:val="31093867"/>
    <w:rsid w:val="310D5C08"/>
    <w:rsid w:val="310F17F5"/>
    <w:rsid w:val="313A7EC4"/>
    <w:rsid w:val="316244E8"/>
    <w:rsid w:val="3169073F"/>
    <w:rsid w:val="31A67308"/>
    <w:rsid w:val="31AB08CF"/>
    <w:rsid w:val="31AD298A"/>
    <w:rsid w:val="31AD6A0A"/>
    <w:rsid w:val="31CF7D3E"/>
    <w:rsid w:val="31D67BED"/>
    <w:rsid w:val="31DE59EF"/>
    <w:rsid w:val="31EA5EF6"/>
    <w:rsid w:val="31F4655E"/>
    <w:rsid w:val="31FC6B32"/>
    <w:rsid w:val="32180206"/>
    <w:rsid w:val="323B0398"/>
    <w:rsid w:val="32406D31"/>
    <w:rsid w:val="32557B59"/>
    <w:rsid w:val="325C381C"/>
    <w:rsid w:val="325E7BE3"/>
    <w:rsid w:val="326E31B5"/>
    <w:rsid w:val="32724195"/>
    <w:rsid w:val="32861C19"/>
    <w:rsid w:val="328D3E75"/>
    <w:rsid w:val="3293237E"/>
    <w:rsid w:val="32A1315D"/>
    <w:rsid w:val="32A248AB"/>
    <w:rsid w:val="32AC094E"/>
    <w:rsid w:val="32CE59A4"/>
    <w:rsid w:val="32CF5169"/>
    <w:rsid w:val="32DA195F"/>
    <w:rsid w:val="32DD2345"/>
    <w:rsid w:val="32E04BAD"/>
    <w:rsid w:val="32E75A7E"/>
    <w:rsid w:val="32E95366"/>
    <w:rsid w:val="32FC18D5"/>
    <w:rsid w:val="32FF74CB"/>
    <w:rsid w:val="33070B47"/>
    <w:rsid w:val="330864CC"/>
    <w:rsid w:val="331F7372"/>
    <w:rsid w:val="33271C0A"/>
    <w:rsid w:val="332E733A"/>
    <w:rsid w:val="333A57B7"/>
    <w:rsid w:val="334177C8"/>
    <w:rsid w:val="334359F3"/>
    <w:rsid w:val="334943EF"/>
    <w:rsid w:val="334B60AA"/>
    <w:rsid w:val="33590AD6"/>
    <w:rsid w:val="335F00B6"/>
    <w:rsid w:val="3369683F"/>
    <w:rsid w:val="336F2458"/>
    <w:rsid w:val="33751688"/>
    <w:rsid w:val="33792F26"/>
    <w:rsid w:val="337D0587"/>
    <w:rsid w:val="339316D9"/>
    <w:rsid w:val="339457AA"/>
    <w:rsid w:val="33995376"/>
    <w:rsid w:val="339F2728"/>
    <w:rsid w:val="33B32A62"/>
    <w:rsid w:val="33C5238D"/>
    <w:rsid w:val="33ED255F"/>
    <w:rsid w:val="33F151B2"/>
    <w:rsid w:val="33FD059E"/>
    <w:rsid w:val="34030A42"/>
    <w:rsid w:val="341838FD"/>
    <w:rsid w:val="342866FA"/>
    <w:rsid w:val="34661E18"/>
    <w:rsid w:val="34824CA8"/>
    <w:rsid w:val="34844B3D"/>
    <w:rsid w:val="34942C32"/>
    <w:rsid w:val="34AA5B7B"/>
    <w:rsid w:val="34AD4440"/>
    <w:rsid w:val="34B47F8E"/>
    <w:rsid w:val="34EB7E53"/>
    <w:rsid w:val="34F17EEC"/>
    <w:rsid w:val="34FA1E45"/>
    <w:rsid w:val="350B5E00"/>
    <w:rsid w:val="35101668"/>
    <w:rsid w:val="35154937"/>
    <w:rsid w:val="35252704"/>
    <w:rsid w:val="352B0250"/>
    <w:rsid w:val="35521BC3"/>
    <w:rsid w:val="356279EA"/>
    <w:rsid w:val="3573737E"/>
    <w:rsid w:val="35757B2E"/>
    <w:rsid w:val="35814314"/>
    <w:rsid w:val="358D4A67"/>
    <w:rsid w:val="358E5AF3"/>
    <w:rsid w:val="35A27755"/>
    <w:rsid w:val="35A6440A"/>
    <w:rsid w:val="35AA386B"/>
    <w:rsid w:val="35CD1307"/>
    <w:rsid w:val="35E406F4"/>
    <w:rsid w:val="35E80367"/>
    <w:rsid w:val="35EF5040"/>
    <w:rsid w:val="35F1537D"/>
    <w:rsid w:val="35F17239"/>
    <w:rsid w:val="35F35B3C"/>
    <w:rsid w:val="35F5260C"/>
    <w:rsid w:val="361702E4"/>
    <w:rsid w:val="361909F0"/>
    <w:rsid w:val="361E0830"/>
    <w:rsid w:val="36484E32"/>
    <w:rsid w:val="3649110C"/>
    <w:rsid w:val="36590DED"/>
    <w:rsid w:val="36656CDB"/>
    <w:rsid w:val="366C4FC4"/>
    <w:rsid w:val="3680074B"/>
    <w:rsid w:val="368765CA"/>
    <w:rsid w:val="36A54032"/>
    <w:rsid w:val="36AA2BDF"/>
    <w:rsid w:val="36C97CBE"/>
    <w:rsid w:val="36CA3A99"/>
    <w:rsid w:val="36CE59FA"/>
    <w:rsid w:val="36F250D3"/>
    <w:rsid w:val="36F82186"/>
    <w:rsid w:val="371021FC"/>
    <w:rsid w:val="3713099F"/>
    <w:rsid w:val="37135440"/>
    <w:rsid w:val="3724764D"/>
    <w:rsid w:val="37287C96"/>
    <w:rsid w:val="3733163E"/>
    <w:rsid w:val="373D24BC"/>
    <w:rsid w:val="375241BA"/>
    <w:rsid w:val="37531CE0"/>
    <w:rsid w:val="376B1B3F"/>
    <w:rsid w:val="377A0104"/>
    <w:rsid w:val="37B65D16"/>
    <w:rsid w:val="37C2566E"/>
    <w:rsid w:val="37C512C3"/>
    <w:rsid w:val="37D7646D"/>
    <w:rsid w:val="37DA78E8"/>
    <w:rsid w:val="37E1109A"/>
    <w:rsid w:val="37ED1D2A"/>
    <w:rsid w:val="37F42F07"/>
    <w:rsid w:val="37FD1FF8"/>
    <w:rsid w:val="380B49E0"/>
    <w:rsid w:val="38190834"/>
    <w:rsid w:val="3834566E"/>
    <w:rsid w:val="38464CE3"/>
    <w:rsid w:val="384A6C3F"/>
    <w:rsid w:val="385C2E16"/>
    <w:rsid w:val="386E5BFC"/>
    <w:rsid w:val="386F7324"/>
    <w:rsid w:val="388563E6"/>
    <w:rsid w:val="38871E81"/>
    <w:rsid w:val="38991974"/>
    <w:rsid w:val="389E346E"/>
    <w:rsid w:val="38A253C1"/>
    <w:rsid w:val="38AF1198"/>
    <w:rsid w:val="38B359A7"/>
    <w:rsid w:val="38B77B2F"/>
    <w:rsid w:val="38C20ECB"/>
    <w:rsid w:val="38CF5396"/>
    <w:rsid w:val="38D32CE2"/>
    <w:rsid w:val="38DE0241"/>
    <w:rsid w:val="38E5105E"/>
    <w:rsid w:val="38ED39D8"/>
    <w:rsid w:val="38F90665"/>
    <w:rsid w:val="39094D4C"/>
    <w:rsid w:val="3925145A"/>
    <w:rsid w:val="39387D98"/>
    <w:rsid w:val="394B0965"/>
    <w:rsid w:val="394E275F"/>
    <w:rsid w:val="39627FB8"/>
    <w:rsid w:val="398A32F4"/>
    <w:rsid w:val="39981C2C"/>
    <w:rsid w:val="399D7242"/>
    <w:rsid w:val="39B52A0B"/>
    <w:rsid w:val="39B93E84"/>
    <w:rsid w:val="39CD0013"/>
    <w:rsid w:val="39CD287A"/>
    <w:rsid w:val="39CD5D7A"/>
    <w:rsid w:val="39D33525"/>
    <w:rsid w:val="39D76BF8"/>
    <w:rsid w:val="39DE7F87"/>
    <w:rsid w:val="39F2758E"/>
    <w:rsid w:val="39FE6173"/>
    <w:rsid w:val="3A3951BD"/>
    <w:rsid w:val="3A3E6C77"/>
    <w:rsid w:val="3A496892"/>
    <w:rsid w:val="3A6D2C1F"/>
    <w:rsid w:val="3A8D72B7"/>
    <w:rsid w:val="3A9643BE"/>
    <w:rsid w:val="3AAF1923"/>
    <w:rsid w:val="3ABE1B66"/>
    <w:rsid w:val="3AD14FE6"/>
    <w:rsid w:val="3AD4558E"/>
    <w:rsid w:val="3ADC40D4"/>
    <w:rsid w:val="3AEF7F72"/>
    <w:rsid w:val="3AF46352"/>
    <w:rsid w:val="3AF630AE"/>
    <w:rsid w:val="3B084AF6"/>
    <w:rsid w:val="3B0A59AB"/>
    <w:rsid w:val="3B223EA3"/>
    <w:rsid w:val="3B331C0C"/>
    <w:rsid w:val="3B3401DA"/>
    <w:rsid w:val="3B423863"/>
    <w:rsid w:val="3B44503D"/>
    <w:rsid w:val="3B4D1C93"/>
    <w:rsid w:val="3B517BE8"/>
    <w:rsid w:val="3B5847E9"/>
    <w:rsid w:val="3B58760B"/>
    <w:rsid w:val="3B5FBB9B"/>
    <w:rsid w:val="3B6B7446"/>
    <w:rsid w:val="3B8406BA"/>
    <w:rsid w:val="3BA83A46"/>
    <w:rsid w:val="3BAA070A"/>
    <w:rsid w:val="3BAB67E8"/>
    <w:rsid w:val="3BB272DE"/>
    <w:rsid w:val="3BC63A21"/>
    <w:rsid w:val="3BD913EA"/>
    <w:rsid w:val="3BDA477E"/>
    <w:rsid w:val="3BEC625F"/>
    <w:rsid w:val="3BF07AFD"/>
    <w:rsid w:val="3BF64EA9"/>
    <w:rsid w:val="3BFC4B8D"/>
    <w:rsid w:val="3C027831"/>
    <w:rsid w:val="3C076D0B"/>
    <w:rsid w:val="3C187AB7"/>
    <w:rsid w:val="3C2F616B"/>
    <w:rsid w:val="3C414629"/>
    <w:rsid w:val="3C481A04"/>
    <w:rsid w:val="3C4B2313"/>
    <w:rsid w:val="3C4C3631"/>
    <w:rsid w:val="3C7249B6"/>
    <w:rsid w:val="3C775E39"/>
    <w:rsid w:val="3C7C75E3"/>
    <w:rsid w:val="3C882039"/>
    <w:rsid w:val="3C990195"/>
    <w:rsid w:val="3C9D1295"/>
    <w:rsid w:val="3C9F32D2"/>
    <w:rsid w:val="3CA55725"/>
    <w:rsid w:val="3CBD0327"/>
    <w:rsid w:val="3CD72A6B"/>
    <w:rsid w:val="3CE27DA1"/>
    <w:rsid w:val="3CE75344"/>
    <w:rsid w:val="3CE82D7E"/>
    <w:rsid w:val="3CFDF494"/>
    <w:rsid w:val="3D031AB2"/>
    <w:rsid w:val="3D0C5AD1"/>
    <w:rsid w:val="3D0F0457"/>
    <w:rsid w:val="3D125F3B"/>
    <w:rsid w:val="3D1B504E"/>
    <w:rsid w:val="3D1E6DC3"/>
    <w:rsid w:val="3D347EBE"/>
    <w:rsid w:val="3D3E5D33"/>
    <w:rsid w:val="3D4A5933"/>
    <w:rsid w:val="3D5347E8"/>
    <w:rsid w:val="3D58381F"/>
    <w:rsid w:val="3D5A7FF5"/>
    <w:rsid w:val="3D62684B"/>
    <w:rsid w:val="3D65451B"/>
    <w:rsid w:val="3D6E33D0"/>
    <w:rsid w:val="3D887B2B"/>
    <w:rsid w:val="3DA037A5"/>
    <w:rsid w:val="3DB51CC5"/>
    <w:rsid w:val="3DC77FFC"/>
    <w:rsid w:val="3DC91F31"/>
    <w:rsid w:val="3DDE6ED2"/>
    <w:rsid w:val="3DE5313A"/>
    <w:rsid w:val="3DEB2C72"/>
    <w:rsid w:val="3DED204D"/>
    <w:rsid w:val="3DF1587D"/>
    <w:rsid w:val="3DF644EB"/>
    <w:rsid w:val="3DFD4754"/>
    <w:rsid w:val="3E045AE2"/>
    <w:rsid w:val="3E070B12"/>
    <w:rsid w:val="3E174E13"/>
    <w:rsid w:val="3E194CE3"/>
    <w:rsid w:val="3E267C4F"/>
    <w:rsid w:val="3E2844D9"/>
    <w:rsid w:val="3E322DAF"/>
    <w:rsid w:val="3E3C527C"/>
    <w:rsid w:val="3E3E1A84"/>
    <w:rsid w:val="3E3E7246"/>
    <w:rsid w:val="3E462316"/>
    <w:rsid w:val="3E5776D4"/>
    <w:rsid w:val="3E5C10BC"/>
    <w:rsid w:val="3E5D51F2"/>
    <w:rsid w:val="3E693CAE"/>
    <w:rsid w:val="3E786ECF"/>
    <w:rsid w:val="3E7C7D6E"/>
    <w:rsid w:val="3E7E5894"/>
    <w:rsid w:val="3E84788F"/>
    <w:rsid w:val="3E983C80"/>
    <w:rsid w:val="3EC55C9F"/>
    <w:rsid w:val="3ED25BE0"/>
    <w:rsid w:val="3ED454B4"/>
    <w:rsid w:val="3EE93EED"/>
    <w:rsid w:val="3EF033F6"/>
    <w:rsid w:val="3EFC1BE0"/>
    <w:rsid w:val="3EFD6405"/>
    <w:rsid w:val="3F0062A9"/>
    <w:rsid w:val="3F20694C"/>
    <w:rsid w:val="3F2D72BA"/>
    <w:rsid w:val="3F33676C"/>
    <w:rsid w:val="3F397A0D"/>
    <w:rsid w:val="3F4802E2"/>
    <w:rsid w:val="3F4B2DEB"/>
    <w:rsid w:val="3F644709"/>
    <w:rsid w:val="3F9B5FD2"/>
    <w:rsid w:val="3FCA62F7"/>
    <w:rsid w:val="3FD57736"/>
    <w:rsid w:val="3FDA2F9E"/>
    <w:rsid w:val="3FE136DB"/>
    <w:rsid w:val="3FEE07F8"/>
    <w:rsid w:val="40043B30"/>
    <w:rsid w:val="401B49F1"/>
    <w:rsid w:val="40251411"/>
    <w:rsid w:val="4033445D"/>
    <w:rsid w:val="403F1053"/>
    <w:rsid w:val="40574C5C"/>
    <w:rsid w:val="405C3DED"/>
    <w:rsid w:val="40831AEB"/>
    <w:rsid w:val="408B2A67"/>
    <w:rsid w:val="408E3D89"/>
    <w:rsid w:val="408F1FDB"/>
    <w:rsid w:val="40972C3D"/>
    <w:rsid w:val="409E221E"/>
    <w:rsid w:val="409E3FCC"/>
    <w:rsid w:val="40A47108"/>
    <w:rsid w:val="40AA7A27"/>
    <w:rsid w:val="40C33A32"/>
    <w:rsid w:val="40D8232D"/>
    <w:rsid w:val="40EF10A5"/>
    <w:rsid w:val="40F40090"/>
    <w:rsid w:val="40FB3D6F"/>
    <w:rsid w:val="410A1661"/>
    <w:rsid w:val="41124699"/>
    <w:rsid w:val="411E6EBB"/>
    <w:rsid w:val="41275AA6"/>
    <w:rsid w:val="4131633A"/>
    <w:rsid w:val="41391F47"/>
    <w:rsid w:val="413F5F30"/>
    <w:rsid w:val="41474664"/>
    <w:rsid w:val="414C7ECC"/>
    <w:rsid w:val="415648A7"/>
    <w:rsid w:val="415822AF"/>
    <w:rsid w:val="415A558D"/>
    <w:rsid w:val="416A65A4"/>
    <w:rsid w:val="417267A4"/>
    <w:rsid w:val="41890EE0"/>
    <w:rsid w:val="41905B0B"/>
    <w:rsid w:val="41962EF5"/>
    <w:rsid w:val="41A91E9A"/>
    <w:rsid w:val="41AF2209"/>
    <w:rsid w:val="41C177C4"/>
    <w:rsid w:val="41C377DF"/>
    <w:rsid w:val="41C63C3D"/>
    <w:rsid w:val="41DE6916"/>
    <w:rsid w:val="41E40104"/>
    <w:rsid w:val="41EA3241"/>
    <w:rsid w:val="41F06527"/>
    <w:rsid w:val="41FA7928"/>
    <w:rsid w:val="41FC3D74"/>
    <w:rsid w:val="420D1E92"/>
    <w:rsid w:val="4215030D"/>
    <w:rsid w:val="42202CD7"/>
    <w:rsid w:val="42240291"/>
    <w:rsid w:val="42285F13"/>
    <w:rsid w:val="4230334A"/>
    <w:rsid w:val="42303B5B"/>
    <w:rsid w:val="424C5CAA"/>
    <w:rsid w:val="42593309"/>
    <w:rsid w:val="42786A9F"/>
    <w:rsid w:val="427E2307"/>
    <w:rsid w:val="42862F6A"/>
    <w:rsid w:val="42953739"/>
    <w:rsid w:val="42B0448A"/>
    <w:rsid w:val="42B86E9B"/>
    <w:rsid w:val="42B93471"/>
    <w:rsid w:val="42BC2E2F"/>
    <w:rsid w:val="42C55880"/>
    <w:rsid w:val="42D25D99"/>
    <w:rsid w:val="42EA71CC"/>
    <w:rsid w:val="42F45E49"/>
    <w:rsid w:val="42F56341"/>
    <w:rsid w:val="42F75C15"/>
    <w:rsid w:val="42FA3846"/>
    <w:rsid w:val="430506B6"/>
    <w:rsid w:val="43056394"/>
    <w:rsid w:val="43144A19"/>
    <w:rsid w:val="43284021"/>
    <w:rsid w:val="434919CF"/>
    <w:rsid w:val="43544E16"/>
    <w:rsid w:val="43562D62"/>
    <w:rsid w:val="4368266F"/>
    <w:rsid w:val="43784FA8"/>
    <w:rsid w:val="43803E5D"/>
    <w:rsid w:val="43923B90"/>
    <w:rsid w:val="439E0787"/>
    <w:rsid w:val="439E42E3"/>
    <w:rsid w:val="43E066A9"/>
    <w:rsid w:val="43F62371"/>
    <w:rsid w:val="43F9776B"/>
    <w:rsid w:val="440525B4"/>
    <w:rsid w:val="440C2FD9"/>
    <w:rsid w:val="441113B5"/>
    <w:rsid w:val="44112D07"/>
    <w:rsid w:val="4436276D"/>
    <w:rsid w:val="44466E54"/>
    <w:rsid w:val="44586B88"/>
    <w:rsid w:val="4467501D"/>
    <w:rsid w:val="446820AA"/>
    <w:rsid w:val="4473751E"/>
    <w:rsid w:val="447A4D50"/>
    <w:rsid w:val="44891D0D"/>
    <w:rsid w:val="449D4C1B"/>
    <w:rsid w:val="44A20EEC"/>
    <w:rsid w:val="44AC7675"/>
    <w:rsid w:val="44D80A1C"/>
    <w:rsid w:val="44F06329"/>
    <w:rsid w:val="44F7591F"/>
    <w:rsid w:val="44F77135"/>
    <w:rsid w:val="44FE772F"/>
    <w:rsid w:val="450D34CE"/>
    <w:rsid w:val="45126D36"/>
    <w:rsid w:val="45196317"/>
    <w:rsid w:val="45294080"/>
    <w:rsid w:val="45357ED6"/>
    <w:rsid w:val="453E3FCF"/>
    <w:rsid w:val="45432070"/>
    <w:rsid w:val="454354E2"/>
    <w:rsid w:val="45567864"/>
    <w:rsid w:val="455713BA"/>
    <w:rsid w:val="45576F7C"/>
    <w:rsid w:val="45586DDA"/>
    <w:rsid w:val="457C4AF8"/>
    <w:rsid w:val="45833790"/>
    <w:rsid w:val="458F46CB"/>
    <w:rsid w:val="45947D5B"/>
    <w:rsid w:val="459B31D0"/>
    <w:rsid w:val="45A11D71"/>
    <w:rsid w:val="45A73731"/>
    <w:rsid w:val="45AD4C75"/>
    <w:rsid w:val="45BE29FC"/>
    <w:rsid w:val="45F36B68"/>
    <w:rsid w:val="45FD26F8"/>
    <w:rsid w:val="461E795D"/>
    <w:rsid w:val="462555FD"/>
    <w:rsid w:val="46353044"/>
    <w:rsid w:val="463A50D8"/>
    <w:rsid w:val="46425A09"/>
    <w:rsid w:val="46456C98"/>
    <w:rsid w:val="46607F75"/>
    <w:rsid w:val="4667261D"/>
    <w:rsid w:val="46761547"/>
    <w:rsid w:val="46827EEC"/>
    <w:rsid w:val="469519CD"/>
    <w:rsid w:val="46A82DEF"/>
    <w:rsid w:val="46CE3131"/>
    <w:rsid w:val="46D06EA9"/>
    <w:rsid w:val="46FF621A"/>
    <w:rsid w:val="470152B5"/>
    <w:rsid w:val="47083327"/>
    <w:rsid w:val="470D78F6"/>
    <w:rsid w:val="47243D6E"/>
    <w:rsid w:val="472D42FC"/>
    <w:rsid w:val="475023F8"/>
    <w:rsid w:val="475C24EB"/>
    <w:rsid w:val="475E44B5"/>
    <w:rsid w:val="477A18B3"/>
    <w:rsid w:val="477E1A6D"/>
    <w:rsid w:val="479A6525"/>
    <w:rsid w:val="479C6D8B"/>
    <w:rsid w:val="47A345BE"/>
    <w:rsid w:val="47A3653C"/>
    <w:rsid w:val="47A83982"/>
    <w:rsid w:val="47AE79EE"/>
    <w:rsid w:val="47C435EA"/>
    <w:rsid w:val="47C50090"/>
    <w:rsid w:val="47D12ED9"/>
    <w:rsid w:val="47D14C87"/>
    <w:rsid w:val="47D34DF8"/>
    <w:rsid w:val="47E03E41"/>
    <w:rsid w:val="47EE467D"/>
    <w:rsid w:val="47F003AF"/>
    <w:rsid w:val="47F40975"/>
    <w:rsid w:val="48030BB8"/>
    <w:rsid w:val="48052B82"/>
    <w:rsid w:val="480762A7"/>
    <w:rsid w:val="480F755D"/>
    <w:rsid w:val="481039F9"/>
    <w:rsid w:val="48346666"/>
    <w:rsid w:val="484336AB"/>
    <w:rsid w:val="48482A6F"/>
    <w:rsid w:val="484E6031"/>
    <w:rsid w:val="48585198"/>
    <w:rsid w:val="485D0CAE"/>
    <w:rsid w:val="486719CA"/>
    <w:rsid w:val="487B7587"/>
    <w:rsid w:val="489D725F"/>
    <w:rsid w:val="48A37F64"/>
    <w:rsid w:val="48B24784"/>
    <w:rsid w:val="48BC2899"/>
    <w:rsid w:val="48BC6E56"/>
    <w:rsid w:val="48BC749A"/>
    <w:rsid w:val="48E258DE"/>
    <w:rsid w:val="48EC56DD"/>
    <w:rsid w:val="48F30C2D"/>
    <w:rsid w:val="48F413D0"/>
    <w:rsid w:val="48FC3F85"/>
    <w:rsid w:val="48FF3A76"/>
    <w:rsid w:val="49080B7C"/>
    <w:rsid w:val="49105C83"/>
    <w:rsid w:val="49170DBF"/>
    <w:rsid w:val="492A1B28"/>
    <w:rsid w:val="49303805"/>
    <w:rsid w:val="49351245"/>
    <w:rsid w:val="49441969"/>
    <w:rsid w:val="496E4757"/>
    <w:rsid w:val="4977360C"/>
    <w:rsid w:val="499A3855"/>
    <w:rsid w:val="49A95790"/>
    <w:rsid w:val="49AD5EEB"/>
    <w:rsid w:val="49AE578F"/>
    <w:rsid w:val="49B760FE"/>
    <w:rsid w:val="49CD36F0"/>
    <w:rsid w:val="49D90544"/>
    <w:rsid w:val="49E60792"/>
    <w:rsid w:val="49E865EB"/>
    <w:rsid w:val="49EA7602"/>
    <w:rsid w:val="49F00FFB"/>
    <w:rsid w:val="4A092104"/>
    <w:rsid w:val="4A0D5D1E"/>
    <w:rsid w:val="4A1C51FA"/>
    <w:rsid w:val="4A1C53BF"/>
    <w:rsid w:val="4A225C75"/>
    <w:rsid w:val="4A3239D7"/>
    <w:rsid w:val="4A394D65"/>
    <w:rsid w:val="4A396B13"/>
    <w:rsid w:val="4A4200BE"/>
    <w:rsid w:val="4A421E6C"/>
    <w:rsid w:val="4A4A4029"/>
    <w:rsid w:val="4A631DE2"/>
    <w:rsid w:val="4A723F30"/>
    <w:rsid w:val="4A730277"/>
    <w:rsid w:val="4A900800"/>
    <w:rsid w:val="4A937FCC"/>
    <w:rsid w:val="4AC960E9"/>
    <w:rsid w:val="4ADF520B"/>
    <w:rsid w:val="4B054C48"/>
    <w:rsid w:val="4B09298A"/>
    <w:rsid w:val="4B1975C8"/>
    <w:rsid w:val="4B263709"/>
    <w:rsid w:val="4B2B2900"/>
    <w:rsid w:val="4B360DA7"/>
    <w:rsid w:val="4B402F90"/>
    <w:rsid w:val="4B481704"/>
    <w:rsid w:val="4B6126FE"/>
    <w:rsid w:val="4B6776B0"/>
    <w:rsid w:val="4B82384B"/>
    <w:rsid w:val="4B86222C"/>
    <w:rsid w:val="4B990BE2"/>
    <w:rsid w:val="4B99F832"/>
    <w:rsid w:val="4BA538EE"/>
    <w:rsid w:val="4BAA4B5C"/>
    <w:rsid w:val="4BBE19C6"/>
    <w:rsid w:val="4BCC39E9"/>
    <w:rsid w:val="4BD7272C"/>
    <w:rsid w:val="4BF53272"/>
    <w:rsid w:val="4C120A00"/>
    <w:rsid w:val="4C2061DD"/>
    <w:rsid w:val="4C2070C3"/>
    <w:rsid w:val="4C252179"/>
    <w:rsid w:val="4C2C109F"/>
    <w:rsid w:val="4C2D26A8"/>
    <w:rsid w:val="4C2F6420"/>
    <w:rsid w:val="4C343A36"/>
    <w:rsid w:val="4C50193F"/>
    <w:rsid w:val="4C52192A"/>
    <w:rsid w:val="4C5339D5"/>
    <w:rsid w:val="4C5365B2"/>
    <w:rsid w:val="4C60274C"/>
    <w:rsid w:val="4C722073"/>
    <w:rsid w:val="4C7327B1"/>
    <w:rsid w:val="4C7C140A"/>
    <w:rsid w:val="4C807C01"/>
    <w:rsid w:val="4C8A2925"/>
    <w:rsid w:val="4C96024D"/>
    <w:rsid w:val="4C9A1776"/>
    <w:rsid w:val="4CB608EF"/>
    <w:rsid w:val="4CC813A0"/>
    <w:rsid w:val="4CDA2830"/>
    <w:rsid w:val="4CDD5E7C"/>
    <w:rsid w:val="4CDF2C3E"/>
    <w:rsid w:val="4CE10FC8"/>
    <w:rsid w:val="4CE52F83"/>
    <w:rsid w:val="4CEF5395"/>
    <w:rsid w:val="4CEF6349"/>
    <w:rsid w:val="4D023B34"/>
    <w:rsid w:val="4D5070F2"/>
    <w:rsid w:val="4D65600A"/>
    <w:rsid w:val="4D6B375F"/>
    <w:rsid w:val="4D7B6F36"/>
    <w:rsid w:val="4D7D2968"/>
    <w:rsid w:val="4D83703B"/>
    <w:rsid w:val="4D9E7587"/>
    <w:rsid w:val="4D9E7AF5"/>
    <w:rsid w:val="4DBC2F09"/>
    <w:rsid w:val="4DD3168B"/>
    <w:rsid w:val="4DD51249"/>
    <w:rsid w:val="4DDB6721"/>
    <w:rsid w:val="4DDC4391"/>
    <w:rsid w:val="4DEB45C9"/>
    <w:rsid w:val="4DED6A7F"/>
    <w:rsid w:val="4DEE3A13"/>
    <w:rsid w:val="4E042713"/>
    <w:rsid w:val="4E132DAB"/>
    <w:rsid w:val="4E372EE8"/>
    <w:rsid w:val="4E3C64AA"/>
    <w:rsid w:val="4E3E4005"/>
    <w:rsid w:val="4E485577"/>
    <w:rsid w:val="4E4C73A3"/>
    <w:rsid w:val="4E50267E"/>
    <w:rsid w:val="4E797E26"/>
    <w:rsid w:val="4E7A50BC"/>
    <w:rsid w:val="4E914821"/>
    <w:rsid w:val="4EA9490A"/>
    <w:rsid w:val="4ECA0682"/>
    <w:rsid w:val="4EF70A89"/>
    <w:rsid w:val="4F073D76"/>
    <w:rsid w:val="4F2A06BF"/>
    <w:rsid w:val="4F380341"/>
    <w:rsid w:val="4F3D0E54"/>
    <w:rsid w:val="4F3E4570"/>
    <w:rsid w:val="4F55672B"/>
    <w:rsid w:val="4F5B752C"/>
    <w:rsid w:val="4F6271DE"/>
    <w:rsid w:val="4F642884"/>
    <w:rsid w:val="4F7A15C5"/>
    <w:rsid w:val="4F7F44DF"/>
    <w:rsid w:val="4F8C3B89"/>
    <w:rsid w:val="4F8E5013"/>
    <w:rsid w:val="4F93316A"/>
    <w:rsid w:val="4FA72CC8"/>
    <w:rsid w:val="4FB31CD0"/>
    <w:rsid w:val="4FB73181"/>
    <w:rsid w:val="4FB97495"/>
    <w:rsid w:val="4FD80B7D"/>
    <w:rsid w:val="4FDC039B"/>
    <w:rsid w:val="4FDC066D"/>
    <w:rsid w:val="4FDD3408"/>
    <w:rsid w:val="4FE85CEC"/>
    <w:rsid w:val="4FEE46F1"/>
    <w:rsid w:val="50041972"/>
    <w:rsid w:val="500944D9"/>
    <w:rsid w:val="50253B41"/>
    <w:rsid w:val="502913D8"/>
    <w:rsid w:val="503E2640"/>
    <w:rsid w:val="505226DD"/>
    <w:rsid w:val="505521CD"/>
    <w:rsid w:val="505A5003"/>
    <w:rsid w:val="50650662"/>
    <w:rsid w:val="5074270E"/>
    <w:rsid w:val="50C14033"/>
    <w:rsid w:val="50CA6717"/>
    <w:rsid w:val="50CD4459"/>
    <w:rsid w:val="50DE42BD"/>
    <w:rsid w:val="50EC0D83"/>
    <w:rsid w:val="50FC74A4"/>
    <w:rsid w:val="51055FB8"/>
    <w:rsid w:val="51056328"/>
    <w:rsid w:val="51064B69"/>
    <w:rsid w:val="510936E3"/>
    <w:rsid w:val="510D731C"/>
    <w:rsid w:val="51191F35"/>
    <w:rsid w:val="511E4CB5"/>
    <w:rsid w:val="512027DB"/>
    <w:rsid w:val="512745BF"/>
    <w:rsid w:val="513F5357"/>
    <w:rsid w:val="514E7348"/>
    <w:rsid w:val="51591306"/>
    <w:rsid w:val="515D00A1"/>
    <w:rsid w:val="5161537B"/>
    <w:rsid w:val="516253C2"/>
    <w:rsid w:val="51723673"/>
    <w:rsid w:val="51790C79"/>
    <w:rsid w:val="517F39A6"/>
    <w:rsid w:val="51840FBC"/>
    <w:rsid w:val="51870AAC"/>
    <w:rsid w:val="5188781F"/>
    <w:rsid w:val="51890380"/>
    <w:rsid w:val="519917FA"/>
    <w:rsid w:val="51A577EB"/>
    <w:rsid w:val="51B353FD"/>
    <w:rsid w:val="51C41CA4"/>
    <w:rsid w:val="51D41141"/>
    <w:rsid w:val="51D41806"/>
    <w:rsid w:val="51D9748C"/>
    <w:rsid w:val="51E732F9"/>
    <w:rsid w:val="520176E8"/>
    <w:rsid w:val="52102850"/>
    <w:rsid w:val="52120376"/>
    <w:rsid w:val="521C11F4"/>
    <w:rsid w:val="521C1828"/>
    <w:rsid w:val="521E7B47"/>
    <w:rsid w:val="522B124C"/>
    <w:rsid w:val="522D0F80"/>
    <w:rsid w:val="5244431C"/>
    <w:rsid w:val="524C4533"/>
    <w:rsid w:val="524D31F4"/>
    <w:rsid w:val="52885CE0"/>
    <w:rsid w:val="52895F3C"/>
    <w:rsid w:val="529E0AC9"/>
    <w:rsid w:val="529E2C90"/>
    <w:rsid w:val="529E42FF"/>
    <w:rsid w:val="52A77A34"/>
    <w:rsid w:val="52B11F76"/>
    <w:rsid w:val="52BD6DD9"/>
    <w:rsid w:val="52C715DE"/>
    <w:rsid w:val="52D61424"/>
    <w:rsid w:val="52D675F5"/>
    <w:rsid w:val="52DB7FA2"/>
    <w:rsid w:val="52DD4E28"/>
    <w:rsid w:val="52E141EC"/>
    <w:rsid w:val="52EF4CB5"/>
    <w:rsid w:val="531262D1"/>
    <w:rsid w:val="53144E35"/>
    <w:rsid w:val="53162691"/>
    <w:rsid w:val="532319B6"/>
    <w:rsid w:val="53263FBA"/>
    <w:rsid w:val="532C5467"/>
    <w:rsid w:val="532E1E14"/>
    <w:rsid w:val="53312FF2"/>
    <w:rsid w:val="535F075F"/>
    <w:rsid w:val="53623229"/>
    <w:rsid w:val="536A1FCE"/>
    <w:rsid w:val="538D65C8"/>
    <w:rsid w:val="539D6365"/>
    <w:rsid w:val="53AE2320"/>
    <w:rsid w:val="53BD2563"/>
    <w:rsid w:val="53BE5764"/>
    <w:rsid w:val="53CC16A8"/>
    <w:rsid w:val="53D61877"/>
    <w:rsid w:val="53F86A2E"/>
    <w:rsid w:val="54262873"/>
    <w:rsid w:val="542F5360"/>
    <w:rsid w:val="54324CFF"/>
    <w:rsid w:val="544D2336"/>
    <w:rsid w:val="545B592C"/>
    <w:rsid w:val="54791626"/>
    <w:rsid w:val="54837309"/>
    <w:rsid w:val="54900A79"/>
    <w:rsid w:val="54A84FC1"/>
    <w:rsid w:val="54B27BEE"/>
    <w:rsid w:val="54B46D2D"/>
    <w:rsid w:val="54C82BAB"/>
    <w:rsid w:val="54CD4E0D"/>
    <w:rsid w:val="54F15B1D"/>
    <w:rsid w:val="54FB1595"/>
    <w:rsid w:val="55006BAB"/>
    <w:rsid w:val="550C1C2C"/>
    <w:rsid w:val="55236D3E"/>
    <w:rsid w:val="55264138"/>
    <w:rsid w:val="552D196B"/>
    <w:rsid w:val="5535269D"/>
    <w:rsid w:val="553D7E00"/>
    <w:rsid w:val="554271C4"/>
    <w:rsid w:val="554A2F57"/>
    <w:rsid w:val="55575EF3"/>
    <w:rsid w:val="5558730C"/>
    <w:rsid w:val="556709D9"/>
    <w:rsid w:val="556A04C9"/>
    <w:rsid w:val="55717AA9"/>
    <w:rsid w:val="55774994"/>
    <w:rsid w:val="55797D86"/>
    <w:rsid w:val="557E54D7"/>
    <w:rsid w:val="558245EF"/>
    <w:rsid w:val="55825ACA"/>
    <w:rsid w:val="558A1888"/>
    <w:rsid w:val="558F2703"/>
    <w:rsid w:val="55A76637"/>
    <w:rsid w:val="55B003E1"/>
    <w:rsid w:val="55BC22A5"/>
    <w:rsid w:val="55BE634A"/>
    <w:rsid w:val="55C7591B"/>
    <w:rsid w:val="55CD5150"/>
    <w:rsid w:val="55E262B1"/>
    <w:rsid w:val="55EF4E2F"/>
    <w:rsid w:val="56030FEA"/>
    <w:rsid w:val="56043034"/>
    <w:rsid w:val="56075D18"/>
    <w:rsid w:val="56242D6E"/>
    <w:rsid w:val="56302231"/>
    <w:rsid w:val="563D01CB"/>
    <w:rsid w:val="564231F4"/>
    <w:rsid w:val="56467571"/>
    <w:rsid w:val="567A0BDF"/>
    <w:rsid w:val="568F0079"/>
    <w:rsid w:val="569C1BD1"/>
    <w:rsid w:val="56B67818"/>
    <w:rsid w:val="56BA5480"/>
    <w:rsid w:val="56BD5E13"/>
    <w:rsid w:val="56D674D1"/>
    <w:rsid w:val="56DA2873"/>
    <w:rsid w:val="56E9366F"/>
    <w:rsid w:val="56F11238"/>
    <w:rsid w:val="571969D7"/>
    <w:rsid w:val="57212E09"/>
    <w:rsid w:val="572273A7"/>
    <w:rsid w:val="572460C7"/>
    <w:rsid w:val="57250B4B"/>
    <w:rsid w:val="573653B0"/>
    <w:rsid w:val="574767CA"/>
    <w:rsid w:val="57482A8C"/>
    <w:rsid w:val="575B3E75"/>
    <w:rsid w:val="575F76B1"/>
    <w:rsid w:val="576D42A0"/>
    <w:rsid w:val="57713D91"/>
    <w:rsid w:val="57736796"/>
    <w:rsid w:val="57790D13"/>
    <w:rsid w:val="57791C46"/>
    <w:rsid w:val="577D6C80"/>
    <w:rsid w:val="577F7419"/>
    <w:rsid w:val="57917F8F"/>
    <w:rsid w:val="579369E1"/>
    <w:rsid w:val="57961A49"/>
    <w:rsid w:val="57A74D3D"/>
    <w:rsid w:val="57C87A24"/>
    <w:rsid w:val="57D32355"/>
    <w:rsid w:val="57E97DCB"/>
    <w:rsid w:val="58016AE1"/>
    <w:rsid w:val="58040C56"/>
    <w:rsid w:val="580764A3"/>
    <w:rsid w:val="580E2D07"/>
    <w:rsid w:val="58152A6D"/>
    <w:rsid w:val="582157B7"/>
    <w:rsid w:val="583059FA"/>
    <w:rsid w:val="583D0117"/>
    <w:rsid w:val="58582D69"/>
    <w:rsid w:val="5866141B"/>
    <w:rsid w:val="5873614C"/>
    <w:rsid w:val="58737B36"/>
    <w:rsid w:val="58761D2A"/>
    <w:rsid w:val="58776477"/>
    <w:rsid w:val="58871392"/>
    <w:rsid w:val="58B13598"/>
    <w:rsid w:val="58BB0DF6"/>
    <w:rsid w:val="58BF28DA"/>
    <w:rsid w:val="58C65785"/>
    <w:rsid w:val="58C70C0A"/>
    <w:rsid w:val="58CC2D9D"/>
    <w:rsid w:val="58E32A6C"/>
    <w:rsid w:val="58ED38EB"/>
    <w:rsid w:val="59084281"/>
    <w:rsid w:val="591175AD"/>
    <w:rsid w:val="591472F1"/>
    <w:rsid w:val="59154BEF"/>
    <w:rsid w:val="59184D5F"/>
    <w:rsid w:val="591C05CD"/>
    <w:rsid w:val="59284CA9"/>
    <w:rsid w:val="592A0EA7"/>
    <w:rsid w:val="592C2C48"/>
    <w:rsid w:val="5938510A"/>
    <w:rsid w:val="594C3279"/>
    <w:rsid w:val="595955D7"/>
    <w:rsid w:val="595C431C"/>
    <w:rsid w:val="59812DC3"/>
    <w:rsid w:val="59853B23"/>
    <w:rsid w:val="5986720E"/>
    <w:rsid w:val="59945B14"/>
    <w:rsid w:val="599E6993"/>
    <w:rsid w:val="59B14918"/>
    <w:rsid w:val="59B43E18"/>
    <w:rsid w:val="59B95475"/>
    <w:rsid w:val="59B9557B"/>
    <w:rsid w:val="59C02DAD"/>
    <w:rsid w:val="59CF1242"/>
    <w:rsid w:val="59EF3E52"/>
    <w:rsid w:val="59FC5C94"/>
    <w:rsid w:val="5A0B17EF"/>
    <w:rsid w:val="5A236E98"/>
    <w:rsid w:val="5A2473C4"/>
    <w:rsid w:val="5A273430"/>
    <w:rsid w:val="5A2D6FE6"/>
    <w:rsid w:val="5A300A6B"/>
    <w:rsid w:val="5A30617E"/>
    <w:rsid w:val="5A3B5DD0"/>
    <w:rsid w:val="5A405C9C"/>
    <w:rsid w:val="5A4214BD"/>
    <w:rsid w:val="5A4331CA"/>
    <w:rsid w:val="5A4D2AF9"/>
    <w:rsid w:val="5A6538EA"/>
    <w:rsid w:val="5A9C5772"/>
    <w:rsid w:val="5AD653D6"/>
    <w:rsid w:val="5AEF1926"/>
    <w:rsid w:val="5AFC71C8"/>
    <w:rsid w:val="5B032DD1"/>
    <w:rsid w:val="5B234996"/>
    <w:rsid w:val="5B271153"/>
    <w:rsid w:val="5B3203DE"/>
    <w:rsid w:val="5B470AA5"/>
    <w:rsid w:val="5B4A6DD2"/>
    <w:rsid w:val="5B6D2AC1"/>
    <w:rsid w:val="5B863B83"/>
    <w:rsid w:val="5B914A01"/>
    <w:rsid w:val="5B9A0A8F"/>
    <w:rsid w:val="5BA2725D"/>
    <w:rsid w:val="5BA720F7"/>
    <w:rsid w:val="5BBB65BD"/>
    <w:rsid w:val="5BC70423"/>
    <w:rsid w:val="5BCA019E"/>
    <w:rsid w:val="5BEB5683"/>
    <w:rsid w:val="5BEC7F89"/>
    <w:rsid w:val="5BED59B0"/>
    <w:rsid w:val="5BF9358E"/>
    <w:rsid w:val="5C001082"/>
    <w:rsid w:val="5C0A6562"/>
    <w:rsid w:val="5C142F3C"/>
    <w:rsid w:val="5C18017C"/>
    <w:rsid w:val="5C25514A"/>
    <w:rsid w:val="5C2D5D12"/>
    <w:rsid w:val="5C37081C"/>
    <w:rsid w:val="5C5B179A"/>
    <w:rsid w:val="5C5E3073"/>
    <w:rsid w:val="5C630206"/>
    <w:rsid w:val="5C7834CB"/>
    <w:rsid w:val="5C7A49B3"/>
    <w:rsid w:val="5C7B25A9"/>
    <w:rsid w:val="5CA010FE"/>
    <w:rsid w:val="5CA42512"/>
    <w:rsid w:val="5CAE513F"/>
    <w:rsid w:val="5CB07109"/>
    <w:rsid w:val="5CB10351"/>
    <w:rsid w:val="5CC11316"/>
    <w:rsid w:val="5CC937C3"/>
    <w:rsid w:val="5CCE758F"/>
    <w:rsid w:val="5CD66444"/>
    <w:rsid w:val="5CDC525B"/>
    <w:rsid w:val="5CE95E77"/>
    <w:rsid w:val="5CED59A8"/>
    <w:rsid w:val="5CEE378D"/>
    <w:rsid w:val="5CF16F06"/>
    <w:rsid w:val="5CF728FB"/>
    <w:rsid w:val="5D0E3E30"/>
    <w:rsid w:val="5D1E2B26"/>
    <w:rsid w:val="5D216AC2"/>
    <w:rsid w:val="5D25720C"/>
    <w:rsid w:val="5D2A2FF5"/>
    <w:rsid w:val="5D383432"/>
    <w:rsid w:val="5D384297"/>
    <w:rsid w:val="5D5B6EE1"/>
    <w:rsid w:val="5D5F6439"/>
    <w:rsid w:val="5D600B2F"/>
    <w:rsid w:val="5D6323CD"/>
    <w:rsid w:val="5D63417B"/>
    <w:rsid w:val="5D7B2566"/>
    <w:rsid w:val="5DAA4D24"/>
    <w:rsid w:val="5DC866D4"/>
    <w:rsid w:val="5DE33E8E"/>
    <w:rsid w:val="5DE66B5A"/>
    <w:rsid w:val="5DE84681"/>
    <w:rsid w:val="5DEB074C"/>
    <w:rsid w:val="5DEB3B70"/>
    <w:rsid w:val="5DF4563B"/>
    <w:rsid w:val="5E053485"/>
    <w:rsid w:val="5E062D59"/>
    <w:rsid w:val="5E192A8C"/>
    <w:rsid w:val="5E49565A"/>
    <w:rsid w:val="5E630CFF"/>
    <w:rsid w:val="5E653F23"/>
    <w:rsid w:val="5E6774EF"/>
    <w:rsid w:val="5E6B19B9"/>
    <w:rsid w:val="5E745F14"/>
    <w:rsid w:val="5E947C3F"/>
    <w:rsid w:val="5E96232F"/>
    <w:rsid w:val="5E9B2E43"/>
    <w:rsid w:val="5E9D6065"/>
    <w:rsid w:val="5EA62FE6"/>
    <w:rsid w:val="5EAB4D1C"/>
    <w:rsid w:val="5EAE58CA"/>
    <w:rsid w:val="5EAE6D96"/>
    <w:rsid w:val="5EB447EE"/>
    <w:rsid w:val="5EB5092F"/>
    <w:rsid w:val="5EBF36C8"/>
    <w:rsid w:val="5ED115B9"/>
    <w:rsid w:val="5EDC2437"/>
    <w:rsid w:val="5EEE3F19"/>
    <w:rsid w:val="5F0A3CB7"/>
    <w:rsid w:val="5F0C439F"/>
    <w:rsid w:val="5F0F04E8"/>
    <w:rsid w:val="5F1D65AC"/>
    <w:rsid w:val="5F213708"/>
    <w:rsid w:val="5F264979"/>
    <w:rsid w:val="5F2C0384"/>
    <w:rsid w:val="5F407CD3"/>
    <w:rsid w:val="5F441643"/>
    <w:rsid w:val="5F4D50E3"/>
    <w:rsid w:val="5F546472"/>
    <w:rsid w:val="5F5A335C"/>
    <w:rsid w:val="5F6B3EAF"/>
    <w:rsid w:val="5F770A66"/>
    <w:rsid w:val="5F8E72FB"/>
    <w:rsid w:val="5F933D87"/>
    <w:rsid w:val="5FAA25A3"/>
    <w:rsid w:val="5FAF08E6"/>
    <w:rsid w:val="5FB54A36"/>
    <w:rsid w:val="5FFE53FD"/>
    <w:rsid w:val="5FFF5CB2"/>
    <w:rsid w:val="60041724"/>
    <w:rsid w:val="600A3F4F"/>
    <w:rsid w:val="60145372"/>
    <w:rsid w:val="60313915"/>
    <w:rsid w:val="60326087"/>
    <w:rsid w:val="60343BAD"/>
    <w:rsid w:val="60433DF0"/>
    <w:rsid w:val="60487659"/>
    <w:rsid w:val="604E10A3"/>
    <w:rsid w:val="605660D3"/>
    <w:rsid w:val="606721D5"/>
    <w:rsid w:val="607C7302"/>
    <w:rsid w:val="607F41FF"/>
    <w:rsid w:val="60806DF2"/>
    <w:rsid w:val="60844B35"/>
    <w:rsid w:val="609571AE"/>
    <w:rsid w:val="60B62CA5"/>
    <w:rsid w:val="60D06ABD"/>
    <w:rsid w:val="60D94755"/>
    <w:rsid w:val="60FB4EBB"/>
    <w:rsid w:val="610619ED"/>
    <w:rsid w:val="61151C31"/>
    <w:rsid w:val="61250239"/>
    <w:rsid w:val="61264971"/>
    <w:rsid w:val="6128399D"/>
    <w:rsid w:val="616404C2"/>
    <w:rsid w:val="616B7AA3"/>
    <w:rsid w:val="616E6749"/>
    <w:rsid w:val="61720E31"/>
    <w:rsid w:val="6176083D"/>
    <w:rsid w:val="61776447"/>
    <w:rsid w:val="61787D9A"/>
    <w:rsid w:val="61840B64"/>
    <w:rsid w:val="6184208A"/>
    <w:rsid w:val="61A77FF5"/>
    <w:rsid w:val="61AB7E9F"/>
    <w:rsid w:val="61C76ADC"/>
    <w:rsid w:val="61CB0541"/>
    <w:rsid w:val="61CC5522"/>
    <w:rsid w:val="61D45648"/>
    <w:rsid w:val="61DE621D"/>
    <w:rsid w:val="61E07A5F"/>
    <w:rsid w:val="61E3588B"/>
    <w:rsid w:val="61F335F4"/>
    <w:rsid w:val="620D44CC"/>
    <w:rsid w:val="621E304D"/>
    <w:rsid w:val="621E3EC4"/>
    <w:rsid w:val="626229B9"/>
    <w:rsid w:val="6269142E"/>
    <w:rsid w:val="62782477"/>
    <w:rsid w:val="62C51434"/>
    <w:rsid w:val="62C67E7B"/>
    <w:rsid w:val="62CC27C3"/>
    <w:rsid w:val="62D4425D"/>
    <w:rsid w:val="62D60EDE"/>
    <w:rsid w:val="62F64E49"/>
    <w:rsid w:val="62F85366"/>
    <w:rsid w:val="631630FF"/>
    <w:rsid w:val="631754A0"/>
    <w:rsid w:val="631A16A8"/>
    <w:rsid w:val="631B43BD"/>
    <w:rsid w:val="63234510"/>
    <w:rsid w:val="633D2BD8"/>
    <w:rsid w:val="634A36E8"/>
    <w:rsid w:val="63526530"/>
    <w:rsid w:val="636E3748"/>
    <w:rsid w:val="637C7D45"/>
    <w:rsid w:val="63896ADA"/>
    <w:rsid w:val="63B3128D"/>
    <w:rsid w:val="63BE7F6B"/>
    <w:rsid w:val="63C95FE5"/>
    <w:rsid w:val="63DF11D6"/>
    <w:rsid w:val="63E64B4B"/>
    <w:rsid w:val="63E861DD"/>
    <w:rsid w:val="63EB6898"/>
    <w:rsid w:val="63F91396"/>
    <w:rsid w:val="63F975E8"/>
    <w:rsid w:val="64071807"/>
    <w:rsid w:val="642B3E17"/>
    <w:rsid w:val="642E6B59"/>
    <w:rsid w:val="643028DD"/>
    <w:rsid w:val="6441217E"/>
    <w:rsid w:val="644C569A"/>
    <w:rsid w:val="644E3D19"/>
    <w:rsid w:val="646C317D"/>
    <w:rsid w:val="646D1D84"/>
    <w:rsid w:val="647F130C"/>
    <w:rsid w:val="64915A72"/>
    <w:rsid w:val="64923598"/>
    <w:rsid w:val="64B23910"/>
    <w:rsid w:val="64B85F67"/>
    <w:rsid w:val="64C34598"/>
    <w:rsid w:val="64CA4AE0"/>
    <w:rsid w:val="64D3726D"/>
    <w:rsid w:val="64EA6F30"/>
    <w:rsid w:val="64FE1F28"/>
    <w:rsid w:val="650655E2"/>
    <w:rsid w:val="65385EEE"/>
    <w:rsid w:val="6567505F"/>
    <w:rsid w:val="65720290"/>
    <w:rsid w:val="657607C4"/>
    <w:rsid w:val="657D7DA4"/>
    <w:rsid w:val="658F2F2B"/>
    <w:rsid w:val="65973989"/>
    <w:rsid w:val="65A74E21"/>
    <w:rsid w:val="65BC08CD"/>
    <w:rsid w:val="65CE1D5B"/>
    <w:rsid w:val="65D06126"/>
    <w:rsid w:val="65DE3D79"/>
    <w:rsid w:val="65F31F58"/>
    <w:rsid w:val="65FD355F"/>
    <w:rsid w:val="66042274"/>
    <w:rsid w:val="66394D61"/>
    <w:rsid w:val="66501015"/>
    <w:rsid w:val="668659BA"/>
    <w:rsid w:val="669B0CBB"/>
    <w:rsid w:val="669B4145"/>
    <w:rsid w:val="66A31ABB"/>
    <w:rsid w:val="66A55805"/>
    <w:rsid w:val="66C26A4A"/>
    <w:rsid w:val="66D25ECE"/>
    <w:rsid w:val="66D63C10"/>
    <w:rsid w:val="66DB7997"/>
    <w:rsid w:val="66EC51E2"/>
    <w:rsid w:val="67077A03"/>
    <w:rsid w:val="67242BCD"/>
    <w:rsid w:val="673B3709"/>
    <w:rsid w:val="673D7BA1"/>
    <w:rsid w:val="67542766"/>
    <w:rsid w:val="675B4115"/>
    <w:rsid w:val="675F095F"/>
    <w:rsid w:val="67674868"/>
    <w:rsid w:val="676F61A2"/>
    <w:rsid w:val="677D22DE"/>
    <w:rsid w:val="677D63AA"/>
    <w:rsid w:val="67984046"/>
    <w:rsid w:val="67A401A8"/>
    <w:rsid w:val="67A946EC"/>
    <w:rsid w:val="67B47573"/>
    <w:rsid w:val="67B63E89"/>
    <w:rsid w:val="67B72B89"/>
    <w:rsid w:val="67BC1EF5"/>
    <w:rsid w:val="67C1666E"/>
    <w:rsid w:val="67EE14A3"/>
    <w:rsid w:val="67F00D02"/>
    <w:rsid w:val="67F51E74"/>
    <w:rsid w:val="680A2F54"/>
    <w:rsid w:val="681A5D7E"/>
    <w:rsid w:val="681D761D"/>
    <w:rsid w:val="682732A7"/>
    <w:rsid w:val="682A4A12"/>
    <w:rsid w:val="682D4D6B"/>
    <w:rsid w:val="684A7AFD"/>
    <w:rsid w:val="684D7F02"/>
    <w:rsid w:val="68616067"/>
    <w:rsid w:val="6865617D"/>
    <w:rsid w:val="68684D3C"/>
    <w:rsid w:val="687A681D"/>
    <w:rsid w:val="688A1939"/>
    <w:rsid w:val="688A7F85"/>
    <w:rsid w:val="688B27D8"/>
    <w:rsid w:val="689C5480"/>
    <w:rsid w:val="68A458D1"/>
    <w:rsid w:val="68A55C4B"/>
    <w:rsid w:val="68B1654A"/>
    <w:rsid w:val="68BF5860"/>
    <w:rsid w:val="68C36416"/>
    <w:rsid w:val="68DB550E"/>
    <w:rsid w:val="68E16A58"/>
    <w:rsid w:val="68FB795E"/>
    <w:rsid w:val="69006820"/>
    <w:rsid w:val="690507DD"/>
    <w:rsid w:val="690A3980"/>
    <w:rsid w:val="691E0497"/>
    <w:rsid w:val="6920451B"/>
    <w:rsid w:val="69232A11"/>
    <w:rsid w:val="694A61EF"/>
    <w:rsid w:val="694E0137"/>
    <w:rsid w:val="69540615"/>
    <w:rsid w:val="696061C4"/>
    <w:rsid w:val="69700CA3"/>
    <w:rsid w:val="698510B0"/>
    <w:rsid w:val="69935DE8"/>
    <w:rsid w:val="699931C7"/>
    <w:rsid w:val="69B53FB1"/>
    <w:rsid w:val="69BA3375"/>
    <w:rsid w:val="69D05266"/>
    <w:rsid w:val="69D106BF"/>
    <w:rsid w:val="69DD00AB"/>
    <w:rsid w:val="69F455E6"/>
    <w:rsid w:val="69FD6914"/>
    <w:rsid w:val="6A044969"/>
    <w:rsid w:val="6A0D3CC5"/>
    <w:rsid w:val="6A0E43F0"/>
    <w:rsid w:val="6A181730"/>
    <w:rsid w:val="6A2373EC"/>
    <w:rsid w:val="6A2D47F2"/>
    <w:rsid w:val="6A3273AF"/>
    <w:rsid w:val="6A333127"/>
    <w:rsid w:val="6A3409E1"/>
    <w:rsid w:val="6A3425B9"/>
    <w:rsid w:val="6A3618A4"/>
    <w:rsid w:val="6A4747EB"/>
    <w:rsid w:val="6A487D63"/>
    <w:rsid w:val="6A57516F"/>
    <w:rsid w:val="6A581194"/>
    <w:rsid w:val="6A596971"/>
    <w:rsid w:val="6A5A6731"/>
    <w:rsid w:val="6A703458"/>
    <w:rsid w:val="6A712098"/>
    <w:rsid w:val="6A8B35E2"/>
    <w:rsid w:val="6A991FB4"/>
    <w:rsid w:val="6A9A31A7"/>
    <w:rsid w:val="6A9B49DC"/>
    <w:rsid w:val="6A9E723B"/>
    <w:rsid w:val="6ABA31DA"/>
    <w:rsid w:val="6AC469C2"/>
    <w:rsid w:val="6AC76CD4"/>
    <w:rsid w:val="6AD519BD"/>
    <w:rsid w:val="6AE03628"/>
    <w:rsid w:val="6AE16877"/>
    <w:rsid w:val="6AE30ED8"/>
    <w:rsid w:val="6AE42187"/>
    <w:rsid w:val="6AEA5EDC"/>
    <w:rsid w:val="6AEF52A0"/>
    <w:rsid w:val="6B0625EA"/>
    <w:rsid w:val="6B092642"/>
    <w:rsid w:val="6B252BA6"/>
    <w:rsid w:val="6B2A277C"/>
    <w:rsid w:val="6B2F1B41"/>
    <w:rsid w:val="6B361121"/>
    <w:rsid w:val="6B500EFC"/>
    <w:rsid w:val="6B686E01"/>
    <w:rsid w:val="6B8F37C2"/>
    <w:rsid w:val="6B9A16B0"/>
    <w:rsid w:val="6B9C539F"/>
    <w:rsid w:val="6BB15296"/>
    <w:rsid w:val="6BB47F24"/>
    <w:rsid w:val="6BB87D88"/>
    <w:rsid w:val="6BCF16A3"/>
    <w:rsid w:val="6BD2397F"/>
    <w:rsid w:val="6BD42820"/>
    <w:rsid w:val="6BD91127"/>
    <w:rsid w:val="6BE02E3B"/>
    <w:rsid w:val="6BE26BB3"/>
    <w:rsid w:val="6BE305B4"/>
    <w:rsid w:val="6BF2418B"/>
    <w:rsid w:val="6C103426"/>
    <w:rsid w:val="6C2143D4"/>
    <w:rsid w:val="6C243BE8"/>
    <w:rsid w:val="6C376440"/>
    <w:rsid w:val="6C3D31EE"/>
    <w:rsid w:val="6C41462D"/>
    <w:rsid w:val="6C511909"/>
    <w:rsid w:val="6C564DD5"/>
    <w:rsid w:val="6C6770B8"/>
    <w:rsid w:val="6C68355C"/>
    <w:rsid w:val="6C6853AC"/>
    <w:rsid w:val="6C6A4059"/>
    <w:rsid w:val="6C7F0C87"/>
    <w:rsid w:val="6C8975E2"/>
    <w:rsid w:val="6CA10D6E"/>
    <w:rsid w:val="6CA770F1"/>
    <w:rsid w:val="6CDF2AE4"/>
    <w:rsid w:val="6CE135E0"/>
    <w:rsid w:val="6D010E1A"/>
    <w:rsid w:val="6D1234C8"/>
    <w:rsid w:val="6D1F031E"/>
    <w:rsid w:val="6D2D017D"/>
    <w:rsid w:val="6D3B3907"/>
    <w:rsid w:val="6D4C69DA"/>
    <w:rsid w:val="6D526B96"/>
    <w:rsid w:val="6D772928"/>
    <w:rsid w:val="6D880556"/>
    <w:rsid w:val="6DAD0E82"/>
    <w:rsid w:val="6DAF0018"/>
    <w:rsid w:val="6DC6202A"/>
    <w:rsid w:val="6DCC5B7B"/>
    <w:rsid w:val="6DE54F69"/>
    <w:rsid w:val="6E0A0617"/>
    <w:rsid w:val="6E14501E"/>
    <w:rsid w:val="6E1D3ED3"/>
    <w:rsid w:val="6E237DA5"/>
    <w:rsid w:val="6E245261"/>
    <w:rsid w:val="6E407BC1"/>
    <w:rsid w:val="6E4D53B2"/>
    <w:rsid w:val="6E5001A7"/>
    <w:rsid w:val="6E5066C9"/>
    <w:rsid w:val="6E547247"/>
    <w:rsid w:val="6E5A0C83"/>
    <w:rsid w:val="6E676244"/>
    <w:rsid w:val="6E764006"/>
    <w:rsid w:val="6E7855AD"/>
    <w:rsid w:val="6E83495E"/>
    <w:rsid w:val="6E9D3265"/>
    <w:rsid w:val="6EA463A2"/>
    <w:rsid w:val="6EC3467D"/>
    <w:rsid w:val="6EC922AC"/>
    <w:rsid w:val="6ED44ED9"/>
    <w:rsid w:val="6EDA0016"/>
    <w:rsid w:val="6EE90259"/>
    <w:rsid w:val="6F0F5F11"/>
    <w:rsid w:val="6F2C357A"/>
    <w:rsid w:val="6F300973"/>
    <w:rsid w:val="6F3C0EE4"/>
    <w:rsid w:val="6F4F4401"/>
    <w:rsid w:val="6F563B40"/>
    <w:rsid w:val="6F726B79"/>
    <w:rsid w:val="6F7A2076"/>
    <w:rsid w:val="6F803507"/>
    <w:rsid w:val="6F997ED1"/>
    <w:rsid w:val="6F9B77A5"/>
    <w:rsid w:val="6FCA1E38"/>
    <w:rsid w:val="6FCC05BF"/>
    <w:rsid w:val="6FCF2A35"/>
    <w:rsid w:val="6FD15B87"/>
    <w:rsid w:val="701557A9"/>
    <w:rsid w:val="701D640C"/>
    <w:rsid w:val="701F1A7A"/>
    <w:rsid w:val="7023779A"/>
    <w:rsid w:val="70335D69"/>
    <w:rsid w:val="70422316"/>
    <w:rsid w:val="704F058F"/>
    <w:rsid w:val="70672830"/>
    <w:rsid w:val="708D6817"/>
    <w:rsid w:val="70AE52B6"/>
    <w:rsid w:val="70B25D9C"/>
    <w:rsid w:val="70B93A21"/>
    <w:rsid w:val="70B9559C"/>
    <w:rsid w:val="70C977E1"/>
    <w:rsid w:val="70D84614"/>
    <w:rsid w:val="70E878E9"/>
    <w:rsid w:val="70EB42C6"/>
    <w:rsid w:val="70F15D74"/>
    <w:rsid w:val="710475CC"/>
    <w:rsid w:val="7131029F"/>
    <w:rsid w:val="713E3D3A"/>
    <w:rsid w:val="713F0604"/>
    <w:rsid w:val="71491DFB"/>
    <w:rsid w:val="714D2F4D"/>
    <w:rsid w:val="715A5644"/>
    <w:rsid w:val="715C11B6"/>
    <w:rsid w:val="715F700B"/>
    <w:rsid w:val="71600CA6"/>
    <w:rsid w:val="718129CA"/>
    <w:rsid w:val="71883D59"/>
    <w:rsid w:val="718C6C32"/>
    <w:rsid w:val="718E5902"/>
    <w:rsid w:val="71942602"/>
    <w:rsid w:val="719D4D71"/>
    <w:rsid w:val="71CE21E8"/>
    <w:rsid w:val="71CE611B"/>
    <w:rsid w:val="71D73730"/>
    <w:rsid w:val="71DC7815"/>
    <w:rsid w:val="721841BE"/>
    <w:rsid w:val="723D2D95"/>
    <w:rsid w:val="72404633"/>
    <w:rsid w:val="7242577C"/>
    <w:rsid w:val="724752CC"/>
    <w:rsid w:val="724C2FD8"/>
    <w:rsid w:val="72513A74"/>
    <w:rsid w:val="725E2DC6"/>
    <w:rsid w:val="726631BE"/>
    <w:rsid w:val="726E2F4F"/>
    <w:rsid w:val="72751354"/>
    <w:rsid w:val="727E2CB9"/>
    <w:rsid w:val="72894733"/>
    <w:rsid w:val="729016F0"/>
    <w:rsid w:val="72A14F9D"/>
    <w:rsid w:val="72A349F4"/>
    <w:rsid w:val="72BB76D6"/>
    <w:rsid w:val="72C708B1"/>
    <w:rsid w:val="730247A7"/>
    <w:rsid w:val="73045661"/>
    <w:rsid w:val="7307358A"/>
    <w:rsid w:val="730F15F2"/>
    <w:rsid w:val="73131F9B"/>
    <w:rsid w:val="73196459"/>
    <w:rsid w:val="731E38AE"/>
    <w:rsid w:val="73257D5E"/>
    <w:rsid w:val="73353A6C"/>
    <w:rsid w:val="733E6DC5"/>
    <w:rsid w:val="733F1CF3"/>
    <w:rsid w:val="73440106"/>
    <w:rsid w:val="73763CFB"/>
    <w:rsid w:val="738C4D27"/>
    <w:rsid w:val="7397714A"/>
    <w:rsid w:val="73A429A0"/>
    <w:rsid w:val="73A66718"/>
    <w:rsid w:val="73B173BA"/>
    <w:rsid w:val="73D797B0"/>
    <w:rsid w:val="73EA31C8"/>
    <w:rsid w:val="73EB3436"/>
    <w:rsid w:val="74026044"/>
    <w:rsid w:val="740718AD"/>
    <w:rsid w:val="740A5909"/>
    <w:rsid w:val="743D3201"/>
    <w:rsid w:val="744D3038"/>
    <w:rsid w:val="744F3E92"/>
    <w:rsid w:val="7457554F"/>
    <w:rsid w:val="74706D9B"/>
    <w:rsid w:val="748B71CF"/>
    <w:rsid w:val="749649DF"/>
    <w:rsid w:val="74BC6411"/>
    <w:rsid w:val="74BD01BD"/>
    <w:rsid w:val="74D80B53"/>
    <w:rsid w:val="74DD79C2"/>
    <w:rsid w:val="74EA47B0"/>
    <w:rsid w:val="74FF2584"/>
    <w:rsid w:val="750477ED"/>
    <w:rsid w:val="75093403"/>
    <w:rsid w:val="750C447A"/>
    <w:rsid w:val="750F5290"/>
    <w:rsid w:val="75306BE1"/>
    <w:rsid w:val="755521A4"/>
    <w:rsid w:val="756D573F"/>
    <w:rsid w:val="756E770A"/>
    <w:rsid w:val="75720FA8"/>
    <w:rsid w:val="75751E30"/>
    <w:rsid w:val="757C14D3"/>
    <w:rsid w:val="758B30E4"/>
    <w:rsid w:val="758B3E18"/>
    <w:rsid w:val="75931266"/>
    <w:rsid w:val="75992388"/>
    <w:rsid w:val="75A153E9"/>
    <w:rsid w:val="75AB270C"/>
    <w:rsid w:val="75B53B35"/>
    <w:rsid w:val="75B82733"/>
    <w:rsid w:val="75DC6243"/>
    <w:rsid w:val="75E934E4"/>
    <w:rsid w:val="76085468"/>
    <w:rsid w:val="76111EBF"/>
    <w:rsid w:val="761C62F2"/>
    <w:rsid w:val="763B32E0"/>
    <w:rsid w:val="763E532E"/>
    <w:rsid w:val="76472434"/>
    <w:rsid w:val="764D37C3"/>
    <w:rsid w:val="764F3ACF"/>
    <w:rsid w:val="76522B87"/>
    <w:rsid w:val="7655286D"/>
    <w:rsid w:val="765A32D4"/>
    <w:rsid w:val="76793527"/>
    <w:rsid w:val="76922E6B"/>
    <w:rsid w:val="76967A9F"/>
    <w:rsid w:val="76AE24B4"/>
    <w:rsid w:val="76BF021D"/>
    <w:rsid w:val="76CC0B8C"/>
    <w:rsid w:val="76D62103"/>
    <w:rsid w:val="76FB6D7B"/>
    <w:rsid w:val="77126F74"/>
    <w:rsid w:val="77482DDB"/>
    <w:rsid w:val="77527E0B"/>
    <w:rsid w:val="7754530E"/>
    <w:rsid w:val="77642B72"/>
    <w:rsid w:val="776E49BD"/>
    <w:rsid w:val="776F4652"/>
    <w:rsid w:val="77754D7F"/>
    <w:rsid w:val="777975DE"/>
    <w:rsid w:val="77813AB0"/>
    <w:rsid w:val="778925D9"/>
    <w:rsid w:val="778D28DE"/>
    <w:rsid w:val="77980A6E"/>
    <w:rsid w:val="77A66BFB"/>
    <w:rsid w:val="77B533CE"/>
    <w:rsid w:val="77B5517C"/>
    <w:rsid w:val="77BD2282"/>
    <w:rsid w:val="77C406FC"/>
    <w:rsid w:val="77C805A4"/>
    <w:rsid w:val="77CE4ABF"/>
    <w:rsid w:val="77F225CC"/>
    <w:rsid w:val="77FF6B97"/>
    <w:rsid w:val="780F4406"/>
    <w:rsid w:val="78236589"/>
    <w:rsid w:val="782D11B6"/>
    <w:rsid w:val="78770683"/>
    <w:rsid w:val="787D6272"/>
    <w:rsid w:val="78805AF8"/>
    <w:rsid w:val="78964503"/>
    <w:rsid w:val="7896524B"/>
    <w:rsid w:val="78975BA7"/>
    <w:rsid w:val="78A11AE9"/>
    <w:rsid w:val="78B537F0"/>
    <w:rsid w:val="78C135B3"/>
    <w:rsid w:val="78C338C8"/>
    <w:rsid w:val="78CA2C35"/>
    <w:rsid w:val="78CF226D"/>
    <w:rsid w:val="78DB2933"/>
    <w:rsid w:val="78EA70A7"/>
    <w:rsid w:val="79020895"/>
    <w:rsid w:val="79030169"/>
    <w:rsid w:val="7906574A"/>
    <w:rsid w:val="79183C14"/>
    <w:rsid w:val="79283BEE"/>
    <w:rsid w:val="792E51E6"/>
    <w:rsid w:val="79447E35"/>
    <w:rsid w:val="7956193F"/>
    <w:rsid w:val="79570BE0"/>
    <w:rsid w:val="795A247F"/>
    <w:rsid w:val="7963523D"/>
    <w:rsid w:val="796E6FDA"/>
    <w:rsid w:val="79805735"/>
    <w:rsid w:val="79915775"/>
    <w:rsid w:val="7995276D"/>
    <w:rsid w:val="79A436FA"/>
    <w:rsid w:val="79AB4A88"/>
    <w:rsid w:val="79B339B1"/>
    <w:rsid w:val="79B576B5"/>
    <w:rsid w:val="79C67B14"/>
    <w:rsid w:val="79CD2C51"/>
    <w:rsid w:val="79E836BE"/>
    <w:rsid w:val="79E920C0"/>
    <w:rsid w:val="79E9625D"/>
    <w:rsid w:val="7A163EDC"/>
    <w:rsid w:val="7A2A3030"/>
    <w:rsid w:val="7A31016F"/>
    <w:rsid w:val="7A3509FE"/>
    <w:rsid w:val="7A385E2B"/>
    <w:rsid w:val="7A731D49"/>
    <w:rsid w:val="7AA56CB8"/>
    <w:rsid w:val="7AA8546C"/>
    <w:rsid w:val="7AAA2F92"/>
    <w:rsid w:val="7AB160CE"/>
    <w:rsid w:val="7AB20098"/>
    <w:rsid w:val="7AD42622"/>
    <w:rsid w:val="7AE213CC"/>
    <w:rsid w:val="7AEA5A84"/>
    <w:rsid w:val="7AED1D93"/>
    <w:rsid w:val="7AED1DB7"/>
    <w:rsid w:val="7AFB348B"/>
    <w:rsid w:val="7B072BE6"/>
    <w:rsid w:val="7B1E0809"/>
    <w:rsid w:val="7B2A40D3"/>
    <w:rsid w:val="7B4038F6"/>
    <w:rsid w:val="7B4E368F"/>
    <w:rsid w:val="7B5A2146"/>
    <w:rsid w:val="7B617810"/>
    <w:rsid w:val="7B6367AA"/>
    <w:rsid w:val="7B834152"/>
    <w:rsid w:val="7B8B4B71"/>
    <w:rsid w:val="7B8C4175"/>
    <w:rsid w:val="7BA32F8D"/>
    <w:rsid w:val="7BAF1C64"/>
    <w:rsid w:val="7BB61791"/>
    <w:rsid w:val="7BCB0BC0"/>
    <w:rsid w:val="7BD55DED"/>
    <w:rsid w:val="7BD9106E"/>
    <w:rsid w:val="7BDA1655"/>
    <w:rsid w:val="7BDA6622"/>
    <w:rsid w:val="7BDC7F71"/>
    <w:rsid w:val="7BE349AD"/>
    <w:rsid w:val="7BF70A96"/>
    <w:rsid w:val="7C027092"/>
    <w:rsid w:val="7C127041"/>
    <w:rsid w:val="7C150324"/>
    <w:rsid w:val="7C1F350C"/>
    <w:rsid w:val="7C4B0C61"/>
    <w:rsid w:val="7C4B3FDF"/>
    <w:rsid w:val="7C4C3984"/>
    <w:rsid w:val="7C5C02BC"/>
    <w:rsid w:val="7C5C632D"/>
    <w:rsid w:val="7C635AEE"/>
    <w:rsid w:val="7C7A6994"/>
    <w:rsid w:val="7C7E26E8"/>
    <w:rsid w:val="7C886096"/>
    <w:rsid w:val="7C947A56"/>
    <w:rsid w:val="7CB77BE8"/>
    <w:rsid w:val="7CC66763"/>
    <w:rsid w:val="7CC7607D"/>
    <w:rsid w:val="7CCD2F68"/>
    <w:rsid w:val="7CDD764F"/>
    <w:rsid w:val="7CE377C0"/>
    <w:rsid w:val="7CE527BA"/>
    <w:rsid w:val="7CED167C"/>
    <w:rsid w:val="7CF02B0A"/>
    <w:rsid w:val="7D06483F"/>
    <w:rsid w:val="7D0C5C7D"/>
    <w:rsid w:val="7D1D48E5"/>
    <w:rsid w:val="7D225061"/>
    <w:rsid w:val="7D2D1C58"/>
    <w:rsid w:val="7D2D3A06"/>
    <w:rsid w:val="7D382AD7"/>
    <w:rsid w:val="7D3B4375"/>
    <w:rsid w:val="7D427AE5"/>
    <w:rsid w:val="7D4464B5"/>
    <w:rsid w:val="7D611A8C"/>
    <w:rsid w:val="7D7810B5"/>
    <w:rsid w:val="7D926E29"/>
    <w:rsid w:val="7D981269"/>
    <w:rsid w:val="7DA23303"/>
    <w:rsid w:val="7DA4350F"/>
    <w:rsid w:val="7DAE2D99"/>
    <w:rsid w:val="7DC91981"/>
    <w:rsid w:val="7DCC01A6"/>
    <w:rsid w:val="7DCE2658"/>
    <w:rsid w:val="7DF10ED8"/>
    <w:rsid w:val="7DF63A8F"/>
    <w:rsid w:val="7DF73FD2"/>
    <w:rsid w:val="7E1F3C97"/>
    <w:rsid w:val="7E254504"/>
    <w:rsid w:val="7E3A00D0"/>
    <w:rsid w:val="7E3C6CAB"/>
    <w:rsid w:val="7E3D731F"/>
    <w:rsid w:val="7E486D4A"/>
    <w:rsid w:val="7E4B3379"/>
    <w:rsid w:val="7E916D01"/>
    <w:rsid w:val="7E980502"/>
    <w:rsid w:val="7EB048EF"/>
    <w:rsid w:val="7EB22415"/>
    <w:rsid w:val="7EB663A9"/>
    <w:rsid w:val="7EB7EDFB"/>
    <w:rsid w:val="7EBA2AE7"/>
    <w:rsid w:val="7EC65EC0"/>
    <w:rsid w:val="7ECE0C09"/>
    <w:rsid w:val="7EF014CF"/>
    <w:rsid w:val="7F0540CF"/>
    <w:rsid w:val="7F0730B4"/>
    <w:rsid w:val="7F0D0A7F"/>
    <w:rsid w:val="7F144E7E"/>
    <w:rsid w:val="7F264BB1"/>
    <w:rsid w:val="7F2F36CA"/>
    <w:rsid w:val="7F3D43D5"/>
    <w:rsid w:val="7F4C7EAD"/>
    <w:rsid w:val="7F5F1F6E"/>
    <w:rsid w:val="7F62208D"/>
    <w:rsid w:val="7F645055"/>
    <w:rsid w:val="7F6D2B51"/>
    <w:rsid w:val="7F6E50FD"/>
    <w:rsid w:val="7F706718"/>
    <w:rsid w:val="7F8519C2"/>
    <w:rsid w:val="7FAD3C18"/>
    <w:rsid w:val="7FB3265C"/>
    <w:rsid w:val="7FB56661"/>
    <w:rsid w:val="7FBF303C"/>
    <w:rsid w:val="7FC543CA"/>
    <w:rsid w:val="7FE65FC0"/>
    <w:rsid w:val="7FE90E95"/>
    <w:rsid w:val="7FEC5DFB"/>
    <w:rsid w:val="7FF32CE5"/>
    <w:rsid w:val="7FF54CAF"/>
    <w:rsid w:val="7FF80C54"/>
    <w:rsid w:val="A2FBC5C8"/>
    <w:rsid w:val="C7E1C6F5"/>
    <w:rsid w:val="DFF32294"/>
    <w:rsid w:val="EBD7A077"/>
    <w:rsid w:val="F33D47C6"/>
    <w:rsid w:val="F6FCF621"/>
    <w:rsid w:val="F793009C"/>
    <w:rsid w:val="F7BFA53E"/>
    <w:rsid w:val="F7EEB455"/>
    <w:rsid w:val="FE75C3A6"/>
    <w:rsid w:val="FF5F6E33"/>
    <w:rsid w:val="FFA72A54"/>
    <w:rsid w:val="FFAB5A92"/>
    <w:rsid w:val="FFFE7B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560" w:lineRule="exact"/>
      <w:ind w:left="0" w:right="0"/>
      <w:jc w:val="left"/>
    </w:pPr>
    <w:rPr>
      <w:rFonts w:ascii="仿宋_GB2312" w:hAnsi="仿宋_GB2312" w:eastAsia="仿宋_GB2312" w:cs="仿宋_GB2312"/>
      <w:sz w:val="32"/>
      <w:szCs w:val="32"/>
      <w:lang w:val="zh-CN" w:eastAsia="zh-CN" w:bidi="zh-CN"/>
    </w:rPr>
  </w:style>
  <w:style w:type="paragraph" w:styleId="2">
    <w:name w:val="heading 1"/>
    <w:basedOn w:val="1"/>
    <w:next w:val="1"/>
    <w:qFormat/>
    <w:uiPriority w:val="1"/>
    <w:pPr>
      <w:spacing w:before="91"/>
      <w:ind w:right="317"/>
      <w:jc w:val="center"/>
      <w:outlineLvl w:val="0"/>
    </w:pPr>
    <w:rPr>
      <w:rFonts w:ascii="仿宋_GB2312" w:hAnsi="仿宋_GB2312" w:eastAsia="方正小标宋简体" w:cs="仿宋_GB2312"/>
      <w:b/>
      <w:sz w:val="44"/>
      <w:szCs w:val="44"/>
    </w:rPr>
  </w:style>
  <w:style w:type="paragraph" w:styleId="3">
    <w:name w:val="heading 2"/>
    <w:basedOn w:val="1"/>
    <w:next w:val="1"/>
    <w:qFormat/>
    <w:uiPriority w:val="1"/>
    <w:pPr>
      <w:spacing w:before="61"/>
      <w:ind w:left="951"/>
      <w:outlineLvl w:val="1"/>
    </w:pPr>
    <w:rPr>
      <w:rFonts w:ascii="宋体" w:hAnsi="宋体" w:eastAsia="黑体" w:cs="宋体"/>
      <w:b/>
      <w:szCs w:val="36"/>
      <w:u w:val="none" w:color="000000"/>
    </w:rPr>
  </w:style>
  <w:style w:type="paragraph" w:styleId="4">
    <w:name w:val="heading 3"/>
    <w:basedOn w:val="1"/>
    <w:next w:val="1"/>
    <w:link w:val="29"/>
    <w:qFormat/>
    <w:uiPriority w:val="1"/>
    <w:pPr>
      <w:ind w:left="871"/>
      <w:outlineLvl w:val="2"/>
    </w:pPr>
    <w:rPr>
      <w:rFonts w:eastAsia="楷体"/>
      <w:b/>
      <w:bCs/>
      <w:sz w:val="32"/>
      <w:szCs w:val="32"/>
    </w:rPr>
  </w:style>
  <w:style w:type="character" w:default="1" w:styleId="17">
    <w:name w:val="Default Paragraph Font"/>
    <w:semiHidden/>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5">
    <w:name w:val="index 5"/>
    <w:basedOn w:val="1"/>
    <w:next w:val="1"/>
    <w:qFormat/>
    <w:uiPriority w:val="0"/>
    <w:pPr>
      <w:ind w:left="1680"/>
    </w:pPr>
  </w:style>
  <w:style w:type="paragraph" w:styleId="6">
    <w:name w:val="toa heading"/>
    <w:basedOn w:val="1"/>
    <w:next w:val="1"/>
    <w:qFormat/>
    <w:uiPriority w:val="0"/>
    <w:pPr>
      <w:spacing w:before="120"/>
    </w:pPr>
    <w:rPr>
      <w:rFonts w:ascii="Arial" w:hAnsi="Arial"/>
      <w:sz w:val="24"/>
    </w:rPr>
  </w:style>
  <w:style w:type="paragraph" w:styleId="7">
    <w:name w:val="annotation text"/>
    <w:basedOn w:val="1"/>
    <w:qFormat/>
    <w:uiPriority w:val="0"/>
    <w:pPr>
      <w:jc w:val="left"/>
    </w:pPr>
  </w:style>
  <w:style w:type="paragraph" w:styleId="8">
    <w:name w:val="Body Text"/>
    <w:basedOn w:val="1"/>
    <w:qFormat/>
    <w:uiPriority w:val="1"/>
    <w:rPr>
      <w:rFonts w:ascii="仿宋" w:hAnsi="仿宋" w:eastAsia="仿宋" w:cs="仿宋"/>
      <w:sz w:val="32"/>
      <w:szCs w:val="32"/>
      <w:lang w:val="zh-CN" w:eastAsia="zh-CN" w:bidi="zh-CN"/>
    </w:rPr>
  </w:style>
  <w:style w:type="paragraph" w:styleId="9">
    <w:name w:val="toc 3"/>
    <w:basedOn w:val="1"/>
    <w:next w:val="1"/>
    <w:link w:val="24"/>
    <w:qFormat/>
    <w:uiPriority w:val="1"/>
    <w:pPr>
      <w:spacing w:before="6"/>
      <w:ind w:left="1700"/>
    </w:pPr>
    <w:rPr>
      <w:rFonts w:ascii="仿宋" w:hAnsi="仿宋" w:eastAsia="仿宋" w:cs="仿宋"/>
      <w:sz w:val="30"/>
      <w:szCs w:val="30"/>
      <w:lang w:val="zh-CN" w:eastAsia="zh-CN" w:bidi="zh-CN"/>
    </w:rPr>
  </w:style>
  <w:style w:type="paragraph" w:styleId="10">
    <w:name w:val="footer"/>
    <w:basedOn w:val="1"/>
    <w:next w:val="5"/>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1"/>
    <w:pPr>
      <w:spacing w:before="44"/>
      <w:ind w:left="1059"/>
    </w:pPr>
    <w:rPr>
      <w:rFonts w:ascii="仿宋_GB2312" w:hAnsi="仿宋_GB2312" w:eastAsia="仿宋_GB2312" w:cs="仿宋_GB2312"/>
      <w:sz w:val="30"/>
      <w:szCs w:val="30"/>
      <w:lang w:val="zh-CN" w:eastAsia="zh-CN" w:bidi="zh-CN"/>
    </w:rPr>
  </w:style>
  <w:style w:type="paragraph" w:styleId="13">
    <w:name w:val="toc 2"/>
    <w:basedOn w:val="1"/>
    <w:next w:val="1"/>
    <w:qFormat/>
    <w:uiPriority w:val="1"/>
    <w:pPr>
      <w:spacing w:before="6"/>
      <w:ind w:left="1100"/>
    </w:pPr>
    <w:rPr>
      <w:rFonts w:ascii="仿宋_GB2312" w:hAnsi="仿宋_GB2312" w:eastAsia="仿宋_GB2312" w:cs="仿宋_GB2312"/>
      <w:sz w:val="30"/>
      <w:szCs w:val="30"/>
      <w:lang w:val="zh-CN" w:eastAsia="zh-CN" w:bidi="zh-CN"/>
    </w:rPr>
  </w:style>
  <w:style w:type="paragraph" w:styleId="14">
    <w:name w:val="Normal (Web)"/>
    <w:basedOn w:val="1"/>
    <w:qFormat/>
    <w:uiPriority w:val="0"/>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mphasis"/>
    <w:basedOn w:val="17"/>
    <w:qFormat/>
    <w:uiPriority w:val="0"/>
    <w:rPr>
      <w:i/>
    </w:rPr>
  </w:style>
  <w:style w:type="character" w:styleId="19">
    <w:name w:val="Hyperlink"/>
    <w:qFormat/>
    <w:uiPriority w:val="0"/>
    <w:rPr>
      <w:color w:val="3D3C3C"/>
      <w:u w:val="none"/>
    </w:rPr>
  </w:style>
  <w:style w:type="table" w:customStyle="1" w:styleId="20">
    <w:name w:val="Table Normal"/>
    <w:semiHidden/>
    <w:unhideWhenUsed/>
    <w:qFormat/>
    <w:uiPriority w:val="2"/>
    <w:tblPr>
      <w:tblCellMar>
        <w:top w:w="0" w:type="dxa"/>
        <w:left w:w="0" w:type="dxa"/>
        <w:bottom w:w="0" w:type="dxa"/>
        <w:right w:w="0" w:type="dxa"/>
      </w:tblCellMar>
    </w:tblPr>
  </w:style>
  <w:style w:type="paragraph" w:styleId="21">
    <w:name w:val="List Paragraph"/>
    <w:basedOn w:val="1"/>
    <w:qFormat/>
    <w:uiPriority w:val="1"/>
    <w:pPr>
      <w:ind w:left="231" w:firstLine="640"/>
    </w:pPr>
    <w:rPr>
      <w:rFonts w:ascii="仿宋" w:hAnsi="仿宋" w:eastAsia="仿宋" w:cs="仿宋"/>
      <w:lang w:val="zh-CN" w:eastAsia="zh-CN" w:bidi="zh-CN"/>
    </w:rPr>
  </w:style>
  <w:style w:type="paragraph" w:customStyle="1" w:styleId="22">
    <w:name w:val="Table Paragraph"/>
    <w:basedOn w:val="1"/>
    <w:qFormat/>
    <w:uiPriority w:val="1"/>
    <w:rPr>
      <w:rFonts w:ascii="仿宋" w:hAnsi="仿宋" w:eastAsia="仿宋" w:cs="仿宋"/>
      <w:lang w:val="zh-CN" w:eastAsia="zh-CN" w:bidi="zh-CN"/>
    </w:rPr>
  </w:style>
  <w:style w:type="character" w:customStyle="1" w:styleId="23">
    <w:name w:val="标题 3 Char"/>
    <w:link w:val="4"/>
    <w:qFormat/>
    <w:uiPriority w:val="1"/>
    <w:rPr>
      <w:rFonts w:eastAsia="楷体"/>
      <w:b/>
      <w:bCs/>
      <w:sz w:val="32"/>
      <w:szCs w:val="32"/>
    </w:rPr>
  </w:style>
  <w:style w:type="character" w:customStyle="1" w:styleId="24">
    <w:name w:val="目录 3 Char"/>
    <w:link w:val="9"/>
    <w:qFormat/>
    <w:uiPriority w:val="1"/>
    <w:rPr>
      <w:rFonts w:ascii="仿宋" w:hAnsi="仿宋" w:eastAsia="仿宋" w:cs="仿宋"/>
      <w:sz w:val="30"/>
      <w:szCs w:val="30"/>
      <w:lang w:val="zh-CN" w:eastAsia="zh-CN" w:bidi="zh-CN"/>
    </w:rPr>
  </w:style>
  <w:style w:type="paragraph" w:customStyle="1" w:styleId="25">
    <w:name w:val="WPSOffice手动目录 1"/>
    <w:qFormat/>
    <w:uiPriority w:val="0"/>
    <w:pPr>
      <w:ind w:leftChars="0"/>
    </w:pPr>
    <w:rPr>
      <w:rFonts w:asciiTheme="minorHAnsi" w:hAnsiTheme="minorHAnsi" w:eastAsiaTheme="minorHAnsi" w:cstheme="minorBidi"/>
      <w:sz w:val="20"/>
      <w:szCs w:val="20"/>
    </w:rPr>
  </w:style>
  <w:style w:type="paragraph" w:customStyle="1" w:styleId="26">
    <w:name w:val="WPSOffice手动目录 3"/>
    <w:qFormat/>
    <w:uiPriority w:val="0"/>
    <w:pPr>
      <w:ind w:leftChars="400"/>
    </w:pPr>
    <w:rPr>
      <w:rFonts w:asciiTheme="minorHAnsi" w:hAnsiTheme="minorHAnsi" w:eastAsiaTheme="minorHAnsi" w:cstheme="minorBidi"/>
      <w:sz w:val="20"/>
      <w:szCs w:val="20"/>
    </w:rPr>
  </w:style>
  <w:style w:type="paragraph" w:customStyle="1" w:styleId="27">
    <w:name w:val="WPSOffice手动目录 2"/>
    <w:qFormat/>
    <w:uiPriority w:val="0"/>
    <w:pPr>
      <w:ind w:leftChars="200"/>
    </w:pPr>
    <w:rPr>
      <w:rFonts w:asciiTheme="minorHAnsi" w:hAnsiTheme="minorHAnsi" w:eastAsiaTheme="minorHAnsi" w:cstheme="minorBidi"/>
      <w:sz w:val="20"/>
      <w:szCs w:val="20"/>
    </w:rPr>
  </w:style>
  <w:style w:type="character" w:customStyle="1" w:styleId="28">
    <w:name w:val="font21"/>
    <w:basedOn w:val="17"/>
    <w:qFormat/>
    <w:uiPriority w:val="0"/>
    <w:rPr>
      <w:rFonts w:hint="eastAsia" w:ascii="宋体" w:hAnsi="宋体" w:eastAsia="宋体" w:cs="宋体"/>
      <w:color w:val="000000"/>
      <w:sz w:val="24"/>
      <w:szCs w:val="24"/>
      <w:u w:val="none"/>
    </w:rPr>
  </w:style>
  <w:style w:type="character" w:customStyle="1" w:styleId="29">
    <w:name w:val="标题 3 字符"/>
    <w:link w:val="4"/>
    <w:qFormat/>
    <w:uiPriority w:val="1"/>
    <w:rPr>
      <w:rFonts w:eastAsia="楷体"/>
      <w:b/>
      <w:bCs/>
      <w:sz w:val="32"/>
      <w:szCs w:val="32"/>
    </w:rPr>
  </w:style>
  <w:style w:type="paragraph" w:customStyle="1" w:styleId="30">
    <w:name w:val="Table Text"/>
    <w:basedOn w:val="1"/>
    <w:semiHidden/>
    <w:qFormat/>
    <w:uiPriority w:val="0"/>
    <w:rPr>
      <w:rFonts w:ascii="Times New Roman" w:hAnsi="Times New Roman" w:eastAsia="Times New Roman" w:cs="Times New Roman"/>
      <w:sz w:val="24"/>
      <w:szCs w:val="24"/>
      <w:lang w:val="en-US" w:eastAsia="en-US" w:bidi="ar-SA"/>
    </w:rPr>
  </w:style>
  <w:style w:type="character" w:customStyle="1" w:styleId="31">
    <w:name w:val="font41"/>
    <w:basedOn w:val="17"/>
    <w:qFormat/>
    <w:uiPriority w:val="0"/>
    <w:rPr>
      <w:rFonts w:ascii="仿宋_GB2312" w:eastAsia="仿宋_GB2312" w:cs="仿宋_GB2312"/>
      <w:color w:val="000000"/>
      <w:sz w:val="20"/>
      <w:szCs w:val="20"/>
      <w:u w:val="none"/>
    </w:rPr>
  </w:style>
  <w:style w:type="character" w:customStyle="1" w:styleId="32">
    <w:name w:val="font51"/>
    <w:basedOn w:val="17"/>
    <w:qFormat/>
    <w:uiPriority w:val="0"/>
    <w:rPr>
      <w:rFonts w:hint="eastAsia" w:ascii="仿宋_GB2312" w:eastAsia="仿宋_GB2312" w:cs="仿宋_GB2312"/>
      <w:color w:val="000000"/>
      <w:sz w:val="20"/>
      <w:szCs w:val="20"/>
      <w:u w:val="none"/>
    </w:rPr>
  </w:style>
  <w:style w:type="character" w:customStyle="1" w:styleId="33">
    <w:name w:val="font61"/>
    <w:basedOn w:val="17"/>
    <w:qFormat/>
    <w:uiPriority w:val="0"/>
    <w:rPr>
      <w:rFonts w:hint="eastAsia" w:ascii="仿宋_GB2312" w:eastAsia="仿宋_GB2312" w:cs="仿宋_GB2312"/>
      <w:color w:val="000000"/>
      <w:sz w:val="20"/>
      <w:szCs w:val="20"/>
      <w:u w:val="none"/>
    </w:rPr>
  </w:style>
  <w:style w:type="character" w:customStyle="1" w:styleId="34">
    <w:name w:val="font31"/>
    <w:basedOn w:val="17"/>
    <w:qFormat/>
    <w:uiPriority w:val="0"/>
    <w:rPr>
      <w:rFonts w:hint="eastAsia" w:ascii="方正仿宋_GB2312" w:hAnsi="方正仿宋_GB2312" w:eastAsia="方正仿宋_GB2312" w:cs="方正仿宋_GB2312"/>
      <w:color w:val="C00000"/>
      <w:sz w:val="20"/>
      <w:szCs w:val="20"/>
      <w:u w:val="none"/>
    </w:rPr>
  </w:style>
  <w:style w:type="character" w:customStyle="1" w:styleId="35">
    <w:name w:val="font11"/>
    <w:basedOn w:val="17"/>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11429</Words>
  <Characters>12509</Characters>
  <TotalTime>16</TotalTime>
  <ScaleCrop>false</ScaleCrop>
  <LinksUpToDate>false</LinksUpToDate>
  <CharactersWithSpaces>12538</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2021-08-09T01:33:00Z</dcterms:created>
  <dc:creator>Lenovo</dc:creator>
  <cp:lastModifiedBy>任思青</cp:lastModifiedBy>
  <cp:lastPrinted>2026-09-14T22:51:00Z</cp:lastPrinted>
  <dcterms:modified xsi:type="dcterms:W3CDTF">2026-09-29T01:06:22Z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2021-08-04T00:00:00Z</vt:filetime>
  </property>
  <property fmtid="{D5CDD505-2E9C-101B-9397-08002B2CF9AE}" pid="3" name="Creator">
    <vt:lpwstr>WPS Office</vt:lpwstr>
  </property>
  <property fmtid="{D5CDD505-2E9C-101B-9397-08002B2CF9AE}" pid="4" name="LastSaved">
    <vt:filetime>2021-08-04T00:00:00Z</vt:filetime>
  </property>
  <property fmtid="{D5CDD505-2E9C-101B-9397-08002B2CF9AE}" pid="5" name="KSOProductBuildVer">
    <vt:lpwstr>2052-11.8.2.10393</vt:lpwstr>
  </property>
  <property fmtid="{D5CDD505-2E9C-101B-9397-08002B2CF9AE}" pid="6" name="ICV">
    <vt:lpwstr>BD49D5CA36DC4799A77E7DF86E2277BA_13</vt:lpwstr>
  </property>
  <property fmtid="{D5CDD505-2E9C-101B-9397-08002B2CF9AE}" pid="7" name="KSOTemplateDocerSaveRecord">
    <vt:lpwstr>eyJoZGlkIjoiZWVmYWMwNzM4MDI5YjJmNTNkYWI5NWZjOWJmMzRmMzkiLCJ1c2VySWQiOiIyODA5NjY3NDEifQ==</vt:lpwstr>
  </property>
</Properties>
</file>