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80" w:lineRule="exact"/>
        <w:ind w:left="0" w:leftChars="0" w:right="0" w:rightChars="0" w:firstLine="0" w:firstLineChars="0"/>
        <w:jc w:val="center"/>
        <w:textAlignment w:val="auto"/>
        <w:outlineLvl w:val="9"/>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湖南省“十五五”医疗保障发展规划</w:t>
      </w:r>
    </w:p>
    <w:p>
      <w:pPr>
        <w:keepNext w:val="0"/>
        <w:keepLines w:val="0"/>
        <w:pageBreakBefore w:val="0"/>
        <w:kinsoku/>
        <w:wordWrap/>
        <w:overflowPunct/>
        <w:topLinePunct w:val="0"/>
        <w:autoSpaceDE/>
        <w:autoSpaceDN/>
        <w:bidi w:val="0"/>
        <w:adjustRightInd/>
        <w:snapToGrid/>
        <w:spacing w:line="680" w:lineRule="exact"/>
        <w:jc w:val="center"/>
        <w:textAlignment w:val="auto"/>
        <w:rPr>
          <w:rFonts w:hint="default" w:ascii="Times New Roman" w:hAnsi="Times New Roman" w:eastAsia="方正小标宋简体" w:cs="Times New Roman"/>
          <w:color w:val="000000"/>
          <w:sz w:val="44"/>
          <w:szCs w:val="44"/>
          <w:highlight w:val="none"/>
        </w:rPr>
      </w:pPr>
      <w:bookmarkStart w:id="35" w:name="_GoBack"/>
      <w:bookmarkEnd w:id="35"/>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为</w:t>
      </w:r>
      <w:r>
        <w:rPr>
          <w:rFonts w:hint="default" w:ascii="Times New Roman" w:hAnsi="Times New Roman" w:eastAsia="仿宋_GB2312" w:cs="Times New Roman"/>
          <w:color w:val="000000"/>
          <w:sz w:val="32"/>
          <w:szCs w:val="32"/>
          <w:highlight w:val="none"/>
          <w:lang w:eastAsia="zh-CN"/>
        </w:rPr>
        <w:t>加快</w:t>
      </w:r>
      <w:r>
        <w:rPr>
          <w:rFonts w:hint="default" w:ascii="Times New Roman" w:hAnsi="Times New Roman" w:eastAsia="仿宋_GB2312" w:cs="Times New Roman"/>
          <w:color w:val="000000"/>
          <w:sz w:val="32"/>
          <w:szCs w:val="32"/>
          <w:highlight w:val="none"/>
        </w:rPr>
        <w:t>推动</w:t>
      </w:r>
      <w:r>
        <w:rPr>
          <w:rFonts w:hint="default" w:ascii="Times New Roman" w:hAnsi="Times New Roman" w:eastAsia="仿宋_GB2312" w:cs="Times New Roman"/>
          <w:color w:val="000000"/>
          <w:sz w:val="32"/>
          <w:szCs w:val="32"/>
          <w:highlight w:val="none"/>
          <w:lang w:eastAsia="zh-CN"/>
        </w:rPr>
        <w:t>全省</w:t>
      </w:r>
      <w:r>
        <w:rPr>
          <w:rFonts w:hint="default" w:ascii="Times New Roman" w:hAnsi="Times New Roman" w:eastAsia="仿宋_GB2312" w:cs="Times New Roman"/>
          <w:color w:val="000000"/>
          <w:sz w:val="32"/>
          <w:szCs w:val="32"/>
          <w:highlight w:val="none"/>
        </w:rPr>
        <w:t>医疗保障事业高质量发展，根据《全民医疗保障“十五五”规划》《湖南省国民经济和社会发展第十五个五年规划纲要》，</w:t>
      </w:r>
      <w:r>
        <w:rPr>
          <w:rFonts w:hint="default" w:ascii="Times New Roman" w:hAnsi="Times New Roman" w:eastAsia="仿宋_GB2312" w:cs="Times New Roman"/>
          <w:color w:val="000000"/>
          <w:sz w:val="32"/>
          <w:szCs w:val="32"/>
          <w:highlight w:val="none"/>
          <w:lang w:eastAsia="zh-CN"/>
        </w:rPr>
        <w:t>结合我省实际，制定</w:t>
      </w:r>
      <w:r>
        <w:rPr>
          <w:rFonts w:hint="default" w:ascii="Times New Roman" w:hAnsi="Times New Roman" w:eastAsia="仿宋_GB2312" w:cs="Times New Roman"/>
          <w:color w:val="000000"/>
          <w:sz w:val="32"/>
          <w:szCs w:val="32"/>
          <w:highlight w:val="none"/>
        </w:rPr>
        <w:t>本规划。</w:t>
      </w:r>
    </w:p>
    <w:p>
      <w:pPr>
        <w:keepNext w:val="0"/>
        <w:keepLines w:val="0"/>
        <w:pageBreakBefore w:val="0"/>
        <w:widowControl/>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000000"/>
          <w:sz w:val="32"/>
          <w:szCs w:val="32"/>
          <w:highlight w:val="none"/>
        </w:rPr>
      </w:pPr>
      <w:bookmarkStart w:id="0" w:name="_Toc5241"/>
      <w:r>
        <w:rPr>
          <w:rFonts w:hint="default" w:ascii="Times New Roman" w:hAnsi="Times New Roman" w:eastAsia="黑体" w:cs="Times New Roman"/>
          <w:color w:val="000000"/>
          <w:sz w:val="32"/>
          <w:szCs w:val="32"/>
          <w:highlight w:val="none"/>
        </w:rPr>
        <w:t>一、总体要求</w:t>
      </w:r>
      <w:bookmarkEnd w:id="0"/>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坚持以习近平新时代中国特色社会主义思想为指导，深入贯彻党的二十大和二十届历次全会精神，全面落实习近平总书记关于医疗保障工作的重要指示批示以及关于湖南工作的重要讲话和指示批示精神，认真贯彻落实党中央、国务院决策部署和省委、省人民政府工作要求，锚定“三高四新”美好蓝图，坚持以人民健康为中心，以推动医保事业高质量发展为主题，以改革创新为根本动力，以全面从严治党为根本保障，坚持整体谋划、系统治理，尽力而为、量力而行，健全多层次医疗保障体系，持续提升人民群众的获得感、幸福感、安全感，为健康湖南建设和推进共同富裕提供坚实保障。</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sz w:val="32"/>
          <w:szCs w:val="32"/>
          <w:highlight w:val="none"/>
          <w:lang w:eastAsia="zh-CN"/>
        </w:rPr>
      </w:pPr>
      <w:bookmarkStart w:id="1" w:name="OLE_LINK4"/>
      <w:r>
        <w:rPr>
          <w:rFonts w:hint="default" w:ascii="Times New Roman" w:hAnsi="Times New Roman" w:eastAsia="仿宋_GB2312" w:cs="Times New Roman"/>
          <w:color w:val="000000"/>
          <w:sz w:val="32"/>
          <w:szCs w:val="32"/>
          <w:highlight w:val="none"/>
          <w:lang w:eastAsia="zh-CN"/>
        </w:rPr>
        <w:t>到2030年，全面建成覆盖全民、统筹城乡、公平统一、安全规范、可持续的多层次医疗保障体系</w:t>
      </w:r>
      <w:r>
        <w:rPr>
          <w:rFonts w:hint="default" w:ascii="Times New Roman" w:hAnsi="Times New Roman" w:eastAsia="仿宋_GB2312" w:cs="Times New Roman"/>
          <w:b w:val="0"/>
          <w:bCs w:val="0"/>
          <w:color w:val="000000"/>
          <w:sz w:val="32"/>
          <w:szCs w:val="32"/>
          <w:highlight w:val="none"/>
          <w:lang w:eastAsia="zh-CN"/>
        </w:rPr>
        <w:t>。</w:t>
      </w:r>
      <w:bookmarkEnd w:id="1"/>
      <w:r>
        <w:rPr>
          <w:rFonts w:hint="default" w:ascii="Times New Roman" w:hAnsi="Times New Roman" w:eastAsia="仿宋_GB2312" w:cs="Times New Roman"/>
          <w:b w:val="0"/>
          <w:bCs w:val="0"/>
          <w:color w:val="000000"/>
          <w:sz w:val="32"/>
          <w:szCs w:val="32"/>
          <w:highlight w:val="none"/>
        </w:rPr>
        <w:t>公平医保普惠均衡，医保政策制度统一规范，城乡区域医保待遇更加均衡，人人享有医保权益更加公平可及。</w:t>
      </w:r>
      <w:bookmarkStart w:id="2" w:name="OLE_LINK7"/>
      <w:r>
        <w:rPr>
          <w:rFonts w:hint="default" w:ascii="Times New Roman" w:hAnsi="Times New Roman" w:eastAsia="仿宋_GB2312" w:cs="Times New Roman"/>
          <w:b w:val="0"/>
          <w:bCs w:val="0"/>
          <w:color w:val="000000"/>
          <w:sz w:val="32"/>
          <w:szCs w:val="32"/>
          <w:highlight w:val="none"/>
        </w:rPr>
        <w:t>法治医保规范完善，医保</w:t>
      </w:r>
      <w:r>
        <w:rPr>
          <w:rFonts w:hint="default" w:ascii="Times New Roman" w:hAnsi="Times New Roman" w:eastAsia="仿宋_GB2312" w:cs="Times New Roman"/>
          <w:b w:val="0"/>
          <w:bCs w:val="0"/>
          <w:color w:val="000000"/>
          <w:sz w:val="32"/>
          <w:szCs w:val="32"/>
          <w:highlight w:val="none"/>
          <w:lang w:eastAsia="zh-CN"/>
        </w:rPr>
        <w:t>法制</w:t>
      </w:r>
      <w:r>
        <w:rPr>
          <w:rFonts w:hint="default" w:ascii="Times New Roman" w:hAnsi="Times New Roman" w:eastAsia="仿宋_GB2312" w:cs="Times New Roman"/>
          <w:b w:val="0"/>
          <w:bCs w:val="0"/>
          <w:color w:val="000000"/>
          <w:sz w:val="32"/>
          <w:szCs w:val="32"/>
          <w:highlight w:val="none"/>
        </w:rPr>
        <w:t>体系基本形成，依法行政</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行政执法</w:t>
      </w:r>
      <w:r>
        <w:rPr>
          <w:rFonts w:hint="default" w:ascii="Times New Roman" w:hAnsi="Times New Roman" w:eastAsia="仿宋_GB2312" w:cs="Times New Roman"/>
          <w:b w:val="0"/>
          <w:bCs w:val="0"/>
          <w:color w:val="000000"/>
          <w:sz w:val="32"/>
          <w:szCs w:val="32"/>
          <w:highlight w:val="none"/>
          <w:lang w:eastAsia="zh-CN"/>
        </w:rPr>
        <w:t>与</w:t>
      </w:r>
      <w:r>
        <w:rPr>
          <w:rFonts w:hint="default" w:ascii="Times New Roman" w:hAnsi="Times New Roman" w:eastAsia="仿宋_GB2312" w:cs="Times New Roman"/>
          <w:b w:val="0"/>
          <w:bCs w:val="0"/>
          <w:color w:val="000000"/>
          <w:sz w:val="32"/>
          <w:szCs w:val="32"/>
          <w:highlight w:val="none"/>
        </w:rPr>
        <w:t>监管水平全面提升。</w:t>
      </w:r>
      <w:bookmarkEnd w:id="2"/>
      <w:r>
        <w:rPr>
          <w:rFonts w:hint="default" w:ascii="Times New Roman" w:hAnsi="Times New Roman" w:eastAsia="仿宋_GB2312" w:cs="Times New Roman"/>
          <w:b w:val="0"/>
          <w:bCs w:val="0"/>
          <w:color w:val="000000"/>
          <w:sz w:val="32"/>
          <w:szCs w:val="32"/>
          <w:highlight w:val="none"/>
        </w:rPr>
        <w:t>安全医保持续稳健，基金收支总体平衡可控，基金监管体系严密有力，医保风险防控和安全可持续保障能力巩固提升。数智医保便捷高效，</w:t>
      </w:r>
      <w:r>
        <w:rPr>
          <w:rFonts w:hint="default" w:ascii="Times New Roman" w:hAnsi="Times New Roman" w:eastAsia="仿宋_GB2312" w:cs="Times New Roman"/>
          <w:color w:val="000000"/>
          <w:sz w:val="32"/>
          <w:szCs w:val="32"/>
          <w:highlight w:val="none"/>
        </w:rPr>
        <w:t>医保信息业务编码标准全场景统一应用</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数据要素价值充分释放，打造中部地区数智医保建设标杆。协同医保同频共振，“三医”协同治理格局全面形成，跨部门跨层级联动机制更加顺畅，</w:t>
      </w:r>
      <w:r>
        <w:rPr>
          <w:rFonts w:hint="default" w:ascii="Times New Roman" w:hAnsi="Times New Roman" w:eastAsia="仿宋_GB2312" w:cs="Times New Roman"/>
          <w:b w:val="0"/>
          <w:bCs w:val="0"/>
          <w:color w:val="000000"/>
          <w:sz w:val="32"/>
          <w:szCs w:val="32"/>
          <w:highlight w:val="none"/>
          <w:lang w:val="en-US" w:eastAsia="zh-CN"/>
        </w:rPr>
        <w:t>医疗、医保、</w:t>
      </w:r>
      <w:r>
        <w:rPr>
          <w:rFonts w:hint="default" w:ascii="Times New Roman" w:hAnsi="Times New Roman" w:eastAsia="仿宋_GB2312" w:cs="Times New Roman"/>
          <w:b w:val="0"/>
          <w:bCs w:val="0"/>
          <w:color w:val="000000"/>
          <w:sz w:val="32"/>
          <w:szCs w:val="32"/>
          <w:highlight w:val="none"/>
        </w:rPr>
        <w:t>医药统筹联动落地见效。科学医保加快推进，医保资源配置更加科学合理，医药价格形成机制和医保支付配套机制更加精准高效，医保治理现代化水平显著提高</w:t>
      </w:r>
      <w:bookmarkStart w:id="3" w:name="OLE_LINK1"/>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lang w:val="en-US" w:eastAsia="zh-CN"/>
        </w:rPr>
        <w:t>打造</w:t>
      </w:r>
      <w:r>
        <w:rPr>
          <w:rFonts w:hint="default" w:ascii="Times New Roman" w:hAnsi="Times New Roman" w:eastAsia="仿宋_GB2312" w:cs="Times New Roman"/>
          <w:b w:val="0"/>
          <w:bCs w:val="0"/>
          <w:color w:val="000000"/>
          <w:sz w:val="32"/>
          <w:szCs w:val="32"/>
          <w:highlight w:val="none"/>
        </w:rPr>
        <w:t>“湘医保</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心服务”惠民</w:t>
      </w:r>
      <w:r>
        <w:rPr>
          <w:rFonts w:hint="default" w:ascii="Times New Roman" w:hAnsi="Times New Roman" w:eastAsia="仿宋_GB2312" w:cs="Times New Roman"/>
          <w:b w:val="0"/>
          <w:bCs w:val="0"/>
          <w:color w:val="000000"/>
          <w:sz w:val="32"/>
          <w:szCs w:val="32"/>
          <w:highlight w:val="none"/>
          <w:lang w:val="en-US" w:eastAsia="zh-CN"/>
        </w:rPr>
        <w:t>服务品牌</w:t>
      </w:r>
      <w:r>
        <w:rPr>
          <w:rFonts w:hint="default" w:ascii="Times New Roman" w:hAnsi="Times New Roman" w:eastAsia="仿宋_GB2312" w:cs="Times New Roman"/>
          <w:b w:val="0"/>
          <w:bCs w:val="0"/>
          <w:color w:val="000000"/>
          <w:sz w:val="32"/>
          <w:szCs w:val="32"/>
          <w:highlight w:val="none"/>
          <w:lang w:eastAsia="zh-CN"/>
        </w:rPr>
        <w:t>。</w:t>
      </w:r>
      <w:bookmarkEnd w:id="3"/>
    </w:p>
    <w:tbl>
      <w:tblPr>
        <w:tblStyle w:val="5"/>
        <w:tblW w:w="9220"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3111"/>
        <w:gridCol w:w="1631"/>
        <w:gridCol w:w="1985"/>
        <w:gridCol w:w="1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220" w:type="dxa"/>
            <w:gridSpan w:val="5"/>
            <w:noWrap w:val="0"/>
            <w:vAlign w:val="center"/>
          </w:tcPr>
          <w:p>
            <w:pPr>
              <w:spacing w:line="300" w:lineRule="exact"/>
              <w:ind w:firstLine="0" w:firstLineChars="0"/>
              <w:jc w:val="center"/>
              <w:rPr>
                <w:rFonts w:hint="default" w:ascii="Times New Roman" w:hAnsi="Times New Roman" w:eastAsia="黑体" w:cs="Times New Roman"/>
                <w:color w:val="000000"/>
                <w:sz w:val="28"/>
                <w:szCs w:val="28"/>
                <w:highlight w:val="none"/>
                <w:lang w:eastAsia="zh-CN"/>
              </w:rPr>
            </w:pPr>
            <w:r>
              <w:rPr>
                <w:rFonts w:hint="default" w:ascii="Times New Roman" w:hAnsi="Times New Roman" w:eastAsia="黑体" w:cs="Times New Roman"/>
                <w:color w:val="000000"/>
                <w:sz w:val="28"/>
                <w:szCs w:val="28"/>
                <w:highlight w:val="none"/>
                <w:lang w:eastAsia="zh-CN"/>
              </w:rPr>
              <w:t>专栏</w:t>
            </w:r>
            <w:r>
              <w:rPr>
                <w:rFonts w:hint="default" w:ascii="Times New Roman" w:hAnsi="Times New Roman" w:eastAsia="黑体" w:cs="Times New Roman"/>
                <w:color w:val="000000"/>
                <w:sz w:val="28"/>
                <w:szCs w:val="28"/>
                <w:highlight w:val="none"/>
                <w:lang w:val="en-US" w:eastAsia="zh-CN"/>
              </w:rPr>
              <w:t xml:space="preserve">1  </w:t>
            </w:r>
            <w:r>
              <w:rPr>
                <w:rFonts w:hint="default" w:ascii="Times New Roman" w:hAnsi="Times New Roman" w:eastAsia="黑体" w:cs="Times New Roman"/>
                <w:color w:val="000000"/>
                <w:sz w:val="28"/>
                <w:szCs w:val="28"/>
                <w:highlight w:val="none"/>
              </w:rPr>
              <w:t>“十五五”时期全省医疗保障事业主要发展指标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811" w:type="dxa"/>
            <w:noWrap w:val="0"/>
            <w:vAlign w:val="center"/>
          </w:tcPr>
          <w:p>
            <w:pPr>
              <w:spacing w:line="300" w:lineRule="exact"/>
              <w:jc w:val="center"/>
              <w:rPr>
                <w:rFonts w:hint="default" w:ascii="Times New Roman" w:hAnsi="Times New Roman" w:eastAsia="黑体" w:cs="Times New Roman"/>
                <w:color w:val="000000"/>
                <w:sz w:val="28"/>
                <w:szCs w:val="28"/>
                <w:highlight w:val="none"/>
              </w:rPr>
            </w:pPr>
            <w:r>
              <w:rPr>
                <w:rFonts w:hint="default" w:ascii="Times New Roman" w:hAnsi="Times New Roman" w:eastAsia="黑体" w:cs="Times New Roman"/>
                <w:color w:val="000000"/>
                <w:sz w:val="28"/>
                <w:szCs w:val="28"/>
                <w:highlight w:val="none"/>
              </w:rPr>
              <w:t>序号</w:t>
            </w:r>
          </w:p>
        </w:tc>
        <w:tc>
          <w:tcPr>
            <w:tcW w:w="3111" w:type="dxa"/>
            <w:noWrap w:val="0"/>
            <w:vAlign w:val="center"/>
          </w:tcPr>
          <w:p>
            <w:pPr>
              <w:spacing w:line="300" w:lineRule="exact"/>
              <w:jc w:val="center"/>
              <w:rPr>
                <w:rFonts w:hint="default" w:ascii="Times New Roman" w:hAnsi="Times New Roman" w:eastAsia="黑体" w:cs="Times New Roman"/>
                <w:color w:val="000000"/>
                <w:sz w:val="28"/>
                <w:szCs w:val="28"/>
                <w:highlight w:val="none"/>
              </w:rPr>
            </w:pPr>
            <w:r>
              <w:rPr>
                <w:rFonts w:hint="default" w:ascii="Times New Roman" w:hAnsi="Times New Roman" w:eastAsia="黑体" w:cs="Times New Roman"/>
                <w:color w:val="000000"/>
                <w:sz w:val="28"/>
                <w:szCs w:val="28"/>
                <w:highlight w:val="none"/>
              </w:rPr>
              <w:t>指标</w:t>
            </w:r>
          </w:p>
        </w:tc>
        <w:tc>
          <w:tcPr>
            <w:tcW w:w="1631" w:type="dxa"/>
            <w:noWrap w:val="0"/>
            <w:vAlign w:val="center"/>
          </w:tcPr>
          <w:p>
            <w:pPr>
              <w:spacing w:line="300" w:lineRule="exact"/>
              <w:jc w:val="center"/>
              <w:rPr>
                <w:rFonts w:hint="default" w:ascii="Times New Roman" w:hAnsi="Times New Roman" w:eastAsia="黑体" w:cs="Times New Roman"/>
                <w:color w:val="000000"/>
                <w:sz w:val="28"/>
                <w:szCs w:val="28"/>
                <w:highlight w:val="none"/>
              </w:rPr>
            </w:pPr>
            <w:r>
              <w:rPr>
                <w:rFonts w:hint="default" w:ascii="Times New Roman" w:hAnsi="Times New Roman" w:eastAsia="黑体" w:cs="Times New Roman"/>
                <w:color w:val="000000"/>
                <w:sz w:val="28"/>
                <w:szCs w:val="28"/>
                <w:highlight w:val="none"/>
              </w:rPr>
              <w:t>2025年</w:t>
            </w:r>
          </w:p>
        </w:tc>
        <w:tc>
          <w:tcPr>
            <w:tcW w:w="1985" w:type="dxa"/>
            <w:noWrap w:val="0"/>
            <w:vAlign w:val="center"/>
          </w:tcPr>
          <w:p>
            <w:pPr>
              <w:spacing w:line="300" w:lineRule="exact"/>
              <w:jc w:val="center"/>
              <w:rPr>
                <w:rFonts w:hint="default" w:ascii="Times New Roman" w:hAnsi="Times New Roman" w:eastAsia="黑体" w:cs="Times New Roman"/>
                <w:color w:val="000000"/>
                <w:sz w:val="28"/>
                <w:szCs w:val="28"/>
                <w:highlight w:val="none"/>
              </w:rPr>
            </w:pPr>
            <w:r>
              <w:rPr>
                <w:rFonts w:hint="default" w:ascii="Times New Roman" w:hAnsi="Times New Roman" w:eastAsia="黑体" w:cs="Times New Roman"/>
                <w:color w:val="000000"/>
                <w:sz w:val="28"/>
                <w:szCs w:val="28"/>
                <w:highlight w:val="none"/>
              </w:rPr>
              <w:t>2030年</w:t>
            </w:r>
          </w:p>
        </w:tc>
        <w:tc>
          <w:tcPr>
            <w:tcW w:w="1682" w:type="dxa"/>
            <w:noWrap w:val="0"/>
            <w:vAlign w:val="center"/>
          </w:tcPr>
          <w:p>
            <w:pPr>
              <w:spacing w:line="300" w:lineRule="exact"/>
              <w:jc w:val="center"/>
              <w:rPr>
                <w:rFonts w:hint="default" w:ascii="Times New Roman" w:hAnsi="Times New Roman" w:eastAsia="黑体" w:cs="Times New Roman"/>
                <w:color w:val="000000"/>
                <w:sz w:val="28"/>
                <w:szCs w:val="28"/>
                <w:highlight w:val="none"/>
                <w:lang w:eastAsia="zh-CN"/>
              </w:rPr>
            </w:pPr>
            <w:r>
              <w:rPr>
                <w:rFonts w:hint="default" w:ascii="Times New Roman" w:hAnsi="Times New Roman" w:eastAsia="黑体" w:cs="Times New Roman"/>
                <w:color w:val="000000"/>
                <w:sz w:val="28"/>
                <w:szCs w:val="28"/>
                <w:highlight w:val="none"/>
                <w:lang w:eastAsia="zh-CN"/>
              </w:rPr>
              <w:t>指标属性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1</w:t>
            </w:r>
          </w:p>
        </w:tc>
        <w:tc>
          <w:tcPr>
            <w:tcW w:w="3111" w:type="dxa"/>
            <w:noWrap w:val="0"/>
            <w:vAlign w:val="center"/>
          </w:tcPr>
          <w:p>
            <w:pPr>
              <w:spacing w:line="300" w:lineRule="exact"/>
              <w:jc w:val="left"/>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基本医疗保险参保率</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95%左右</w:t>
            </w:r>
          </w:p>
        </w:tc>
        <w:tc>
          <w:tcPr>
            <w:tcW w:w="1985"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保持稳定</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2</w:t>
            </w:r>
          </w:p>
        </w:tc>
        <w:tc>
          <w:tcPr>
            <w:tcW w:w="3111" w:type="dxa"/>
            <w:noWrap w:val="0"/>
            <w:vAlign w:val="center"/>
          </w:tcPr>
          <w:p>
            <w:pPr>
              <w:spacing w:line="300" w:lineRule="exact"/>
              <w:jc w:val="left"/>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长期护理保险制度覆盖统筹区数量（个）</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1</w:t>
            </w:r>
          </w:p>
        </w:tc>
        <w:tc>
          <w:tcPr>
            <w:tcW w:w="1985"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覆盖所有</w:t>
            </w:r>
          </w:p>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统筹区</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3</w:t>
            </w:r>
          </w:p>
        </w:tc>
        <w:tc>
          <w:tcPr>
            <w:tcW w:w="3111" w:type="dxa"/>
            <w:noWrap w:val="0"/>
            <w:vAlign w:val="center"/>
          </w:tcPr>
          <w:p>
            <w:pPr>
              <w:spacing w:line="3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职工基本医疗保险目录内住院费用基金支付比例</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80%</w:t>
            </w:r>
          </w:p>
        </w:tc>
        <w:tc>
          <w:tcPr>
            <w:tcW w:w="1985"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稳定在80%</w:t>
            </w:r>
          </w:p>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左右</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4</w:t>
            </w:r>
          </w:p>
        </w:tc>
        <w:tc>
          <w:tcPr>
            <w:tcW w:w="3111" w:type="dxa"/>
            <w:noWrap w:val="0"/>
            <w:vAlign w:val="center"/>
          </w:tcPr>
          <w:p>
            <w:pPr>
              <w:spacing w:line="3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城乡居民基本医疗保险目录内住院费用基金支付比例</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65%</w:t>
            </w:r>
          </w:p>
        </w:tc>
        <w:tc>
          <w:tcPr>
            <w:tcW w:w="1985"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稳定在70%</w:t>
            </w:r>
          </w:p>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左右</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5</w:t>
            </w:r>
          </w:p>
        </w:tc>
        <w:tc>
          <w:tcPr>
            <w:tcW w:w="3111" w:type="dxa"/>
            <w:noWrap w:val="0"/>
            <w:vAlign w:val="center"/>
          </w:tcPr>
          <w:p>
            <w:pPr>
              <w:spacing w:line="3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职工基本医疗保险统筹基金累计结余可支付月数（月）</w:t>
            </w:r>
          </w:p>
        </w:tc>
        <w:tc>
          <w:tcPr>
            <w:tcW w:w="1631"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29.2</w:t>
            </w:r>
          </w:p>
        </w:tc>
        <w:tc>
          <w:tcPr>
            <w:tcW w:w="1985"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安全线以上</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81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6</w:t>
            </w:r>
          </w:p>
        </w:tc>
        <w:tc>
          <w:tcPr>
            <w:tcW w:w="3111" w:type="dxa"/>
            <w:noWrap w:val="0"/>
            <w:vAlign w:val="center"/>
          </w:tcPr>
          <w:p>
            <w:pPr>
              <w:spacing w:line="300" w:lineRule="exact"/>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城乡居民基本医疗保险统筹基金累计结余可支付月数（月）</w:t>
            </w:r>
          </w:p>
        </w:tc>
        <w:tc>
          <w:tcPr>
            <w:tcW w:w="1631"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10.2</w:t>
            </w:r>
          </w:p>
        </w:tc>
        <w:tc>
          <w:tcPr>
            <w:tcW w:w="1985"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总体保持在</w:t>
            </w:r>
          </w:p>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安全水平</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811"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val="en-US" w:eastAsia="zh-CN"/>
              </w:rPr>
              <w:t>7</w:t>
            </w:r>
          </w:p>
        </w:tc>
        <w:tc>
          <w:tcPr>
            <w:tcW w:w="3111" w:type="dxa"/>
            <w:noWrap w:val="0"/>
            <w:vAlign w:val="center"/>
          </w:tcPr>
          <w:p>
            <w:pPr>
              <w:spacing w:line="300" w:lineRule="exact"/>
              <w:jc w:val="left"/>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公立医疗机构通过省级集中采购平台线上采购率</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药品90%，</w:t>
            </w:r>
            <w:bookmarkStart w:id="4" w:name="OLE_LINK3"/>
            <w:r>
              <w:rPr>
                <w:rFonts w:hint="default" w:ascii="Times New Roman" w:hAnsi="Times New Roman" w:eastAsia="仿宋_GB2312" w:cs="Times New Roman"/>
                <w:color w:val="000000"/>
                <w:sz w:val="28"/>
                <w:szCs w:val="28"/>
                <w:highlight w:val="none"/>
              </w:rPr>
              <w:t>高值</w:t>
            </w:r>
            <w:bookmarkEnd w:id="4"/>
            <w:r>
              <w:rPr>
                <w:rFonts w:hint="default" w:ascii="Times New Roman" w:hAnsi="Times New Roman" w:eastAsia="仿宋_GB2312" w:cs="Times New Roman"/>
                <w:color w:val="000000"/>
                <w:sz w:val="28"/>
                <w:szCs w:val="28"/>
                <w:highlight w:val="none"/>
              </w:rPr>
              <w:t>医用耗材80%</w:t>
            </w:r>
          </w:p>
        </w:tc>
        <w:tc>
          <w:tcPr>
            <w:tcW w:w="1985"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药品稳定在95%以上，高值医用耗材稳定在85%以上</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11"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val="en-US" w:eastAsia="zh-CN"/>
              </w:rPr>
              <w:t>8</w:t>
            </w:r>
          </w:p>
        </w:tc>
        <w:tc>
          <w:tcPr>
            <w:tcW w:w="3111" w:type="dxa"/>
            <w:noWrap w:val="0"/>
            <w:vAlign w:val="center"/>
          </w:tcPr>
          <w:p>
            <w:pPr>
              <w:spacing w:line="300" w:lineRule="exact"/>
              <w:jc w:val="left"/>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即时结算基本医疗保险基金支出覆盖率</w:t>
            </w:r>
          </w:p>
        </w:tc>
        <w:tc>
          <w:tcPr>
            <w:tcW w:w="1631"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84%左右</w:t>
            </w:r>
          </w:p>
        </w:tc>
        <w:tc>
          <w:tcPr>
            <w:tcW w:w="1985" w:type="dxa"/>
            <w:noWrap w:val="0"/>
            <w:vAlign w:val="center"/>
          </w:tcPr>
          <w:p>
            <w:pPr>
              <w:spacing w:line="300" w:lineRule="exact"/>
              <w:jc w:val="center"/>
              <w:rPr>
                <w:rFonts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≥90%</w:t>
            </w:r>
          </w:p>
        </w:tc>
        <w:tc>
          <w:tcPr>
            <w:tcW w:w="1682" w:type="dxa"/>
            <w:noWrap w:val="0"/>
            <w:vAlign w:val="center"/>
          </w:tcPr>
          <w:p>
            <w:pPr>
              <w:spacing w:line="300" w:lineRule="exact"/>
              <w:jc w:val="center"/>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lang w:eastAsia="zh-CN"/>
              </w:rPr>
              <w:t>预期性</w:t>
            </w:r>
          </w:p>
        </w:tc>
      </w:tr>
    </w:tbl>
    <w:p>
      <w:pPr>
        <w:widowControl/>
        <w:spacing w:line="580" w:lineRule="exact"/>
        <w:ind w:firstLine="640" w:firstLineChars="200"/>
        <w:rPr>
          <w:rFonts w:hint="default" w:ascii="Times New Roman" w:hAnsi="Times New Roman" w:eastAsia="黑体" w:cs="Times New Roman"/>
          <w:color w:val="000000"/>
          <w:sz w:val="32"/>
          <w:szCs w:val="32"/>
          <w:highlight w:val="none"/>
        </w:rPr>
      </w:pPr>
      <w:bookmarkStart w:id="5" w:name="_Toc2764"/>
      <w:r>
        <w:rPr>
          <w:rFonts w:hint="default" w:ascii="Times New Roman" w:hAnsi="Times New Roman" w:eastAsia="黑体" w:cs="Times New Roman"/>
          <w:color w:val="000000"/>
          <w:sz w:val="32"/>
          <w:szCs w:val="32"/>
          <w:highlight w:val="none"/>
        </w:rPr>
        <w:t>二、主要任务</w:t>
      </w:r>
    </w:p>
    <w:p>
      <w:pPr>
        <w:spacing w:line="580" w:lineRule="exact"/>
        <w:ind w:firstLine="640" w:firstLineChars="200"/>
        <w:rPr>
          <w:rFonts w:hint="default" w:ascii="Times New Roman" w:hAnsi="Times New Roman" w:eastAsia="楷体" w:cs="Times New Roman"/>
          <w:color w:val="000000"/>
          <w:sz w:val="32"/>
          <w:szCs w:val="32"/>
          <w:highlight w:val="none"/>
        </w:rPr>
      </w:pPr>
      <w:r>
        <w:rPr>
          <w:rFonts w:hint="default" w:ascii="Times New Roman" w:hAnsi="Times New Roman" w:eastAsia="楷体" w:cs="Times New Roman"/>
          <w:color w:val="000000"/>
          <w:sz w:val="32"/>
          <w:szCs w:val="32"/>
          <w:highlight w:val="none"/>
        </w:rPr>
        <w:t>（一）健全多层次医疗保障体系</w:t>
      </w:r>
      <w:bookmarkEnd w:id="5"/>
    </w:p>
    <w:p>
      <w:pPr>
        <w:spacing w:line="600" w:lineRule="exact"/>
        <w:ind w:firstLine="643" w:firstLineChars="200"/>
        <w:rPr>
          <w:rFonts w:hint="eastAsia" w:ascii="Times New Roman" w:hAnsi="Times New Roman" w:eastAsia="仿宋_GB2312"/>
          <w:color w:val="000000"/>
          <w:sz w:val="32"/>
          <w:szCs w:val="32"/>
          <w:highlight w:val="none"/>
          <w:lang w:eastAsia="zh-CN"/>
        </w:rPr>
      </w:pPr>
      <w:bookmarkStart w:id="6" w:name="_Toc15470"/>
      <w:r>
        <w:rPr>
          <w:rFonts w:hint="eastAsia" w:ascii="Times New Roman" w:hAnsi="Times New Roman" w:eastAsia="仿宋_GB2312"/>
          <w:b/>
          <w:bCs/>
          <w:color w:val="000000"/>
          <w:sz w:val="32"/>
          <w:szCs w:val="32"/>
          <w:highlight w:val="none"/>
        </w:rPr>
        <w:t>1.完善基本医疗保险制度</w:t>
      </w:r>
      <w:bookmarkEnd w:id="6"/>
      <w:r>
        <w:rPr>
          <w:rFonts w:hint="eastAsia" w:ascii="Times New Roman" w:hAnsi="Times New Roman" w:eastAsia="仿宋_GB2312"/>
          <w:b/>
          <w:bCs/>
          <w:color w:val="000000"/>
          <w:sz w:val="32"/>
          <w:szCs w:val="32"/>
          <w:highlight w:val="none"/>
        </w:rPr>
        <w:t>。</w:t>
      </w:r>
      <w:r>
        <w:rPr>
          <w:rFonts w:hint="eastAsia" w:ascii="Times New Roman" w:hAnsi="Times New Roman" w:eastAsia="仿宋_GB2312"/>
          <w:color w:val="000000"/>
          <w:sz w:val="32"/>
          <w:szCs w:val="32"/>
          <w:highlight w:val="none"/>
        </w:rPr>
        <w:t>完善公平适度</w:t>
      </w:r>
      <w:r>
        <w:rPr>
          <w:rFonts w:hint="eastAsia" w:ascii="Times New Roman" w:hAnsi="Times New Roman" w:eastAsia="仿宋_GB2312"/>
          <w:color w:val="000000"/>
          <w:sz w:val="32"/>
          <w:szCs w:val="32"/>
          <w:highlight w:val="none"/>
          <w:lang w:eastAsia="zh-CN"/>
        </w:rPr>
        <w:t>的</w:t>
      </w:r>
      <w:r>
        <w:rPr>
          <w:rFonts w:hint="eastAsia" w:ascii="Times New Roman" w:hAnsi="Times New Roman" w:eastAsia="仿宋_GB2312"/>
          <w:color w:val="000000"/>
          <w:sz w:val="32"/>
          <w:szCs w:val="32"/>
          <w:highlight w:val="none"/>
        </w:rPr>
        <w:t>待遇保障机制。坚持基本</w:t>
      </w:r>
      <w:r>
        <w:rPr>
          <w:rFonts w:hint="eastAsia" w:ascii="Times New Roman" w:hAnsi="Times New Roman" w:eastAsia="仿宋_GB2312"/>
          <w:color w:val="000000"/>
          <w:sz w:val="32"/>
          <w:szCs w:val="32"/>
          <w:highlight w:val="none"/>
          <w:lang w:eastAsia="zh-CN"/>
        </w:rPr>
        <w:t>医疗保险</w:t>
      </w:r>
      <w:r>
        <w:rPr>
          <w:rFonts w:hint="default" w:ascii="Times New Roman" w:hAnsi="Times New Roman" w:eastAsia="仿宋_GB2312" w:cs="Times New Roman"/>
          <w:color w:val="000000"/>
          <w:sz w:val="32"/>
          <w:szCs w:val="32"/>
          <w:highlight w:val="none"/>
          <w:u w:val="none"/>
          <w:lang w:val="en-US" w:eastAsia="zh-CN"/>
        </w:rPr>
        <w:t>“</w:t>
      </w:r>
      <w:r>
        <w:rPr>
          <w:rFonts w:hint="eastAsia" w:ascii="Times New Roman" w:hAnsi="Times New Roman" w:eastAsia="仿宋_GB2312"/>
          <w:color w:val="000000"/>
          <w:sz w:val="32"/>
          <w:szCs w:val="32"/>
          <w:highlight w:val="none"/>
        </w:rPr>
        <w:t>保基本</w:t>
      </w:r>
      <w:r>
        <w:rPr>
          <w:rFonts w:hint="default" w:ascii="Times New Roman" w:hAnsi="Times New Roman" w:eastAsia="仿宋_GB2312" w:cs="Times New Roman"/>
          <w:color w:val="000000"/>
          <w:sz w:val="32"/>
          <w:szCs w:val="32"/>
          <w:highlight w:val="none"/>
        </w:rPr>
        <w:t>”</w:t>
      </w:r>
      <w:r>
        <w:rPr>
          <w:rFonts w:hint="eastAsia" w:ascii="Times New Roman" w:hAnsi="Times New Roman" w:eastAsia="仿宋_GB2312"/>
          <w:color w:val="000000"/>
          <w:sz w:val="32"/>
          <w:szCs w:val="32"/>
          <w:highlight w:val="none"/>
        </w:rPr>
        <w:t>，严格落实医疗保障待遇清单制度，厘清基本医保、大病保险、医疗救助的制度边界与</w:t>
      </w:r>
      <w:r>
        <w:rPr>
          <w:rFonts w:hint="eastAsia" w:ascii="Times New Roman" w:hAnsi="Times New Roman" w:eastAsia="仿宋_GB2312"/>
          <w:color w:val="000000"/>
          <w:sz w:val="32"/>
          <w:szCs w:val="32"/>
          <w:highlight w:val="none"/>
          <w:lang w:eastAsia="zh-CN"/>
        </w:rPr>
        <w:t>功能定位，明确各保障层次的职责分工。</w:t>
      </w:r>
      <w:r>
        <w:rPr>
          <w:rFonts w:hint="eastAsia" w:ascii="Times New Roman" w:hAnsi="Times New Roman" w:eastAsia="仿宋_GB2312"/>
          <w:color w:val="000000"/>
          <w:sz w:val="32"/>
          <w:szCs w:val="32"/>
          <w:highlight w:val="none"/>
        </w:rPr>
        <w:t>建立与经济发展水平、基金承受能力、人口结构特点和群众需求相适应的待遇动态调整机制。合理</w:t>
      </w:r>
      <w:r>
        <w:rPr>
          <w:rFonts w:hint="eastAsia" w:ascii="Times New Roman" w:hAnsi="Times New Roman" w:eastAsia="仿宋_GB2312"/>
          <w:color w:val="000000"/>
          <w:sz w:val="32"/>
          <w:szCs w:val="32"/>
          <w:highlight w:val="none"/>
          <w:lang w:val="en-US" w:eastAsia="zh-CN"/>
        </w:rPr>
        <w:t>设置</w:t>
      </w:r>
      <w:r>
        <w:rPr>
          <w:rFonts w:hint="eastAsia" w:ascii="Times New Roman" w:hAnsi="Times New Roman" w:eastAsia="仿宋_GB2312"/>
          <w:color w:val="000000"/>
          <w:sz w:val="32"/>
          <w:szCs w:val="32"/>
          <w:highlight w:val="none"/>
        </w:rPr>
        <w:t>职工医保</w:t>
      </w:r>
      <w:r>
        <w:rPr>
          <w:rFonts w:hint="eastAsia" w:ascii="Times New Roman" w:hAnsi="Times New Roman" w:eastAsia="仿宋_GB2312"/>
          <w:color w:val="000000"/>
          <w:sz w:val="32"/>
          <w:szCs w:val="32"/>
          <w:highlight w:val="none"/>
          <w:lang w:val="en-US" w:eastAsia="zh-CN"/>
        </w:rPr>
        <w:t>和</w:t>
      </w:r>
      <w:r>
        <w:rPr>
          <w:rFonts w:hint="eastAsia" w:ascii="Times New Roman" w:hAnsi="Times New Roman" w:eastAsia="仿宋_GB2312"/>
          <w:color w:val="000000"/>
          <w:sz w:val="32"/>
          <w:szCs w:val="32"/>
          <w:highlight w:val="none"/>
        </w:rPr>
        <w:t>居民医保</w:t>
      </w:r>
      <w:r>
        <w:rPr>
          <w:rFonts w:hint="eastAsia" w:ascii="Times New Roman" w:hAnsi="Times New Roman" w:eastAsia="仿宋_GB2312"/>
          <w:color w:val="000000"/>
          <w:sz w:val="32"/>
          <w:szCs w:val="32"/>
          <w:highlight w:val="none"/>
          <w:lang w:val="en-US" w:eastAsia="zh-CN"/>
        </w:rPr>
        <w:t>待遇政策</w:t>
      </w:r>
      <w:r>
        <w:rPr>
          <w:rFonts w:hint="eastAsia" w:ascii="Times New Roman" w:hAnsi="Times New Roman" w:eastAsia="仿宋_GB2312"/>
          <w:color w:val="000000"/>
          <w:sz w:val="32"/>
          <w:szCs w:val="32"/>
          <w:highlight w:val="none"/>
        </w:rPr>
        <w:t>，完善不同层级医疗机构</w:t>
      </w:r>
      <w:r>
        <w:rPr>
          <w:rFonts w:hint="eastAsia" w:ascii="Times New Roman" w:hAnsi="Times New Roman" w:eastAsia="仿宋_GB2312"/>
          <w:color w:val="000000"/>
          <w:sz w:val="32"/>
          <w:szCs w:val="32"/>
          <w:highlight w:val="none"/>
          <w:lang w:eastAsia="zh-CN"/>
        </w:rPr>
        <w:t>的</w:t>
      </w:r>
      <w:r>
        <w:rPr>
          <w:rFonts w:hint="eastAsia" w:ascii="Times New Roman" w:hAnsi="Times New Roman" w:eastAsia="仿宋_GB2312"/>
          <w:color w:val="000000"/>
          <w:sz w:val="32"/>
          <w:szCs w:val="32"/>
          <w:highlight w:val="none"/>
        </w:rPr>
        <w:t>差别化医保支付政策，实施基层就医倾斜报销政策，引导</w:t>
      </w:r>
      <w:r>
        <w:rPr>
          <w:rFonts w:hint="eastAsia" w:ascii="Times New Roman" w:hAnsi="Times New Roman" w:eastAsia="仿宋_GB2312"/>
          <w:color w:val="000000"/>
          <w:sz w:val="32"/>
          <w:szCs w:val="32"/>
          <w:highlight w:val="none"/>
          <w:lang w:eastAsia="zh-CN"/>
        </w:rPr>
        <w:t>群众</w:t>
      </w:r>
      <w:r>
        <w:rPr>
          <w:rFonts w:hint="eastAsia" w:ascii="Times New Roman" w:hAnsi="Times New Roman" w:eastAsia="仿宋_GB2312"/>
          <w:color w:val="000000"/>
          <w:sz w:val="32"/>
          <w:szCs w:val="32"/>
          <w:highlight w:val="none"/>
        </w:rPr>
        <w:t>有序就医。</w:t>
      </w:r>
      <w:r>
        <w:rPr>
          <w:rFonts w:hint="eastAsia" w:ascii="Times New Roman" w:hAnsi="Times New Roman" w:eastAsia="仿宋_GB2312"/>
          <w:color w:val="000000"/>
          <w:sz w:val="32"/>
          <w:szCs w:val="32"/>
          <w:highlight w:val="none"/>
          <w:lang w:eastAsia="zh-CN"/>
        </w:rPr>
        <w:t>巩固住院待遇保障水平，健全</w:t>
      </w:r>
      <w:r>
        <w:rPr>
          <w:rFonts w:hint="eastAsia" w:ascii="Times New Roman" w:hAnsi="Times New Roman" w:eastAsia="仿宋_GB2312"/>
          <w:color w:val="000000"/>
          <w:sz w:val="32"/>
          <w:szCs w:val="32"/>
          <w:highlight w:val="none"/>
        </w:rPr>
        <w:t>门诊保障制度，</w:t>
      </w:r>
      <w:r>
        <w:rPr>
          <w:rFonts w:hint="eastAsia" w:ascii="Times New Roman" w:hAnsi="Times New Roman" w:eastAsia="仿宋_GB2312"/>
          <w:color w:val="000000"/>
          <w:sz w:val="32"/>
          <w:szCs w:val="32"/>
          <w:highlight w:val="none"/>
          <w:lang w:eastAsia="zh-CN"/>
        </w:rPr>
        <w:t>统一规范门诊慢特病保障政策，</w:t>
      </w:r>
      <w:r>
        <w:rPr>
          <w:rFonts w:hint="eastAsia" w:ascii="Times New Roman" w:hAnsi="Times New Roman" w:eastAsia="仿宋_GB2312"/>
          <w:color w:val="000000"/>
          <w:sz w:val="32"/>
          <w:szCs w:val="32"/>
          <w:highlight w:val="none"/>
        </w:rPr>
        <w:t>提升普通门诊待遇保障政策效能。</w:t>
      </w:r>
      <w:r>
        <w:rPr>
          <w:rFonts w:hint="eastAsia" w:ascii="Times New Roman" w:hAnsi="Times New Roman" w:eastAsia="仿宋_GB2312"/>
          <w:color w:val="000000"/>
          <w:sz w:val="32"/>
          <w:szCs w:val="32"/>
          <w:highlight w:val="none"/>
          <w:lang w:eastAsia="zh-CN"/>
        </w:rPr>
        <w:t>健全</w:t>
      </w:r>
      <w:r>
        <w:rPr>
          <w:rFonts w:hint="eastAsia" w:ascii="Times New Roman" w:hAnsi="Times New Roman" w:eastAsia="仿宋_GB2312"/>
          <w:color w:val="000000"/>
          <w:sz w:val="32"/>
          <w:szCs w:val="32"/>
          <w:highlight w:val="none"/>
        </w:rPr>
        <w:t>参保人员意外伤害保障管理办法，</w:t>
      </w:r>
      <w:r>
        <w:rPr>
          <w:rFonts w:hint="eastAsia" w:ascii="Times New Roman" w:hAnsi="Times New Roman" w:eastAsia="仿宋_GB2312"/>
          <w:color w:val="000000"/>
          <w:sz w:val="32"/>
          <w:szCs w:val="32"/>
          <w:highlight w:val="none"/>
          <w:lang w:eastAsia="zh-CN"/>
        </w:rPr>
        <w:t>借助</w:t>
      </w:r>
      <w:r>
        <w:rPr>
          <w:rFonts w:hint="eastAsia" w:ascii="Times New Roman" w:hAnsi="Times New Roman" w:eastAsia="仿宋_GB2312"/>
          <w:color w:val="000000"/>
          <w:sz w:val="32"/>
          <w:szCs w:val="32"/>
          <w:highlight w:val="none"/>
        </w:rPr>
        <w:t>商业保险机构</w:t>
      </w:r>
      <w:r>
        <w:rPr>
          <w:rFonts w:hint="eastAsia" w:ascii="Times New Roman" w:hAnsi="Times New Roman" w:eastAsia="仿宋_GB2312"/>
          <w:color w:val="000000"/>
          <w:sz w:val="32"/>
          <w:szCs w:val="32"/>
          <w:highlight w:val="none"/>
          <w:lang w:eastAsia="zh-CN"/>
        </w:rPr>
        <w:t>专业</w:t>
      </w:r>
      <w:r>
        <w:rPr>
          <w:rFonts w:hint="eastAsia" w:ascii="Times New Roman" w:hAnsi="Times New Roman" w:eastAsia="仿宋_GB2312"/>
          <w:color w:val="000000"/>
          <w:sz w:val="32"/>
          <w:szCs w:val="32"/>
          <w:highlight w:val="none"/>
        </w:rPr>
        <w:t>力量，规范案件查勘、审核、费用结算等全流程管理机制。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7" w:name="_Toc14890"/>
      <w:r>
        <w:rPr>
          <w:rFonts w:hint="eastAsia" w:ascii="Times New Roman" w:hAnsi="Times New Roman" w:eastAsia="仿宋_GB2312"/>
          <w:b/>
          <w:bCs/>
          <w:color w:val="000000"/>
          <w:sz w:val="32"/>
          <w:szCs w:val="32"/>
          <w:highlight w:val="none"/>
        </w:rPr>
        <w:t>2.优化生育保险制度。</w:t>
      </w:r>
      <w:r>
        <w:rPr>
          <w:rFonts w:hint="default" w:ascii="Times New Roman" w:hAnsi="Times New Roman" w:eastAsia="仿宋_GB2312" w:cs="Times New Roman"/>
          <w:color w:val="000000"/>
          <w:sz w:val="32"/>
          <w:szCs w:val="32"/>
          <w:highlight w:val="none"/>
        </w:rPr>
        <w:t>扩大生育保险制度覆盖面。</w:t>
      </w:r>
      <w:r>
        <w:rPr>
          <w:rFonts w:hint="default" w:ascii="Times New Roman" w:hAnsi="Times New Roman" w:eastAsia="仿宋_GB2312" w:cs="Times New Roman"/>
          <w:color w:val="000000"/>
          <w:sz w:val="32"/>
          <w:szCs w:val="32"/>
          <w:highlight w:val="none"/>
          <w:lang w:eastAsia="zh-CN"/>
        </w:rPr>
        <w:t>持续推进用人单位参加生育保险，</w:t>
      </w:r>
      <w:r>
        <w:rPr>
          <w:rFonts w:hint="default" w:ascii="Times New Roman" w:hAnsi="Times New Roman" w:eastAsia="仿宋_GB2312" w:cs="Times New Roman"/>
          <w:color w:val="000000"/>
          <w:sz w:val="32"/>
          <w:szCs w:val="32"/>
          <w:highlight w:val="none"/>
        </w:rPr>
        <w:t>全面落实由失业保险基金为领取失业保险金人员代缴</w:t>
      </w:r>
      <w:r>
        <w:rPr>
          <w:rFonts w:hint="default" w:ascii="Times New Roman" w:hAnsi="Times New Roman" w:eastAsia="仿宋_GB2312" w:cs="Times New Roman"/>
          <w:color w:val="000000"/>
          <w:sz w:val="32"/>
          <w:szCs w:val="32"/>
          <w:highlight w:val="none"/>
          <w:lang w:eastAsia="zh-CN"/>
        </w:rPr>
        <w:t>职工基本</w:t>
      </w:r>
      <w:r>
        <w:rPr>
          <w:rFonts w:hint="default" w:ascii="Times New Roman" w:hAnsi="Times New Roman" w:eastAsia="仿宋_GB2312" w:cs="Times New Roman"/>
          <w:color w:val="000000"/>
          <w:sz w:val="32"/>
          <w:szCs w:val="32"/>
          <w:highlight w:val="none"/>
        </w:rPr>
        <w:t>医</w:t>
      </w:r>
      <w:r>
        <w:rPr>
          <w:rFonts w:hint="default" w:ascii="Times New Roman" w:hAnsi="Times New Roman" w:eastAsia="仿宋_GB2312" w:cs="Times New Roman"/>
          <w:color w:val="000000"/>
          <w:sz w:val="32"/>
          <w:szCs w:val="32"/>
          <w:highlight w:val="none"/>
          <w:lang w:eastAsia="zh-CN"/>
        </w:rPr>
        <w:t>疗保险</w:t>
      </w:r>
      <w:r>
        <w:rPr>
          <w:rFonts w:hint="default" w:ascii="Times New Roman" w:hAnsi="Times New Roman" w:eastAsia="仿宋_GB2312" w:cs="Times New Roman"/>
          <w:color w:val="000000"/>
          <w:sz w:val="32"/>
          <w:szCs w:val="32"/>
          <w:highlight w:val="none"/>
        </w:rPr>
        <w:t>（含生育保险）费政策</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推动将灵活就业人员、农民工、新就业形态人员纳入生育保险覆盖范围。</w:t>
      </w:r>
      <w:r>
        <w:rPr>
          <w:rFonts w:hint="default" w:ascii="Times New Roman" w:hAnsi="Times New Roman" w:eastAsia="仿宋_GB2312" w:cs="Times New Roman"/>
          <w:color w:val="000000"/>
          <w:sz w:val="32"/>
          <w:szCs w:val="32"/>
          <w:highlight w:val="none"/>
          <w:lang w:eastAsia="zh-CN"/>
        </w:rPr>
        <w:t>强化</w:t>
      </w:r>
      <w:r>
        <w:rPr>
          <w:rFonts w:hint="default" w:ascii="Times New Roman" w:hAnsi="Times New Roman" w:eastAsia="仿宋_GB2312" w:cs="Times New Roman"/>
          <w:color w:val="000000"/>
          <w:sz w:val="32"/>
          <w:szCs w:val="32"/>
          <w:highlight w:val="none"/>
        </w:rPr>
        <w:t>生育保险待遇保障</w:t>
      </w:r>
      <w:r>
        <w:rPr>
          <w:rFonts w:hint="default" w:ascii="Times New Roman" w:hAnsi="Times New Roman" w:eastAsia="仿宋_GB2312" w:cs="Times New Roman"/>
          <w:color w:val="000000"/>
          <w:sz w:val="32"/>
          <w:szCs w:val="32"/>
          <w:highlight w:val="none"/>
          <w:lang w:eastAsia="zh-CN"/>
        </w:rPr>
        <w:t>，持续</w:t>
      </w:r>
      <w:r>
        <w:rPr>
          <w:rFonts w:hint="default" w:ascii="Times New Roman" w:hAnsi="Times New Roman" w:eastAsia="仿宋_GB2312" w:cs="Times New Roman"/>
          <w:color w:val="000000"/>
          <w:sz w:val="32"/>
          <w:szCs w:val="32"/>
          <w:highlight w:val="none"/>
        </w:rPr>
        <w:t>推行定点医疗机构分娩政策范围内费用个人“零自付”，切实减轻参保人员生育负担。</w:t>
      </w:r>
      <w:r>
        <w:rPr>
          <w:rFonts w:hint="default" w:ascii="Times New Roman" w:hAnsi="Times New Roman" w:eastAsia="仿宋_GB2312" w:cs="Times New Roman"/>
          <w:color w:val="000000"/>
          <w:sz w:val="32"/>
          <w:szCs w:val="32"/>
          <w:highlight w:val="none"/>
          <w:lang w:eastAsia="zh-CN"/>
        </w:rPr>
        <w:t>健全</w:t>
      </w:r>
      <w:r>
        <w:rPr>
          <w:rFonts w:hint="default" w:ascii="Times New Roman" w:hAnsi="Times New Roman" w:eastAsia="仿宋_GB2312" w:cs="Times New Roman"/>
          <w:color w:val="000000"/>
          <w:sz w:val="32"/>
          <w:szCs w:val="32"/>
          <w:highlight w:val="none"/>
        </w:rPr>
        <w:t>辅助生殖、产前检查等医疗服务价格项目设置，</w:t>
      </w:r>
      <w:r>
        <w:rPr>
          <w:rFonts w:hint="default" w:ascii="Times New Roman" w:hAnsi="Times New Roman" w:eastAsia="仿宋_GB2312" w:cs="Times New Roman"/>
          <w:color w:val="000000"/>
          <w:sz w:val="32"/>
          <w:szCs w:val="32"/>
          <w:highlight w:val="none"/>
          <w:lang w:val="en-US" w:eastAsia="zh-CN"/>
        </w:rPr>
        <w:t>完善辅助生殖项目医保支付管理</w:t>
      </w:r>
      <w:r>
        <w:rPr>
          <w:rFonts w:hint="default" w:ascii="Times New Roman" w:hAnsi="Times New Roman" w:eastAsia="仿宋_GB2312" w:cs="Times New Roman"/>
          <w:color w:val="000000"/>
          <w:sz w:val="32"/>
          <w:szCs w:val="32"/>
          <w:highlight w:val="none"/>
        </w:rPr>
        <w:t>。规范生育津贴待遇</w:t>
      </w:r>
      <w:r>
        <w:rPr>
          <w:rFonts w:hint="default" w:ascii="Times New Roman" w:hAnsi="Times New Roman" w:eastAsia="仿宋_GB2312" w:cs="Times New Roman"/>
          <w:color w:val="000000"/>
          <w:sz w:val="32"/>
          <w:szCs w:val="32"/>
          <w:highlight w:val="none"/>
          <w:lang w:eastAsia="zh-CN"/>
        </w:rPr>
        <w:t>管理，</w:t>
      </w:r>
      <w:r>
        <w:rPr>
          <w:rFonts w:hint="default" w:ascii="Times New Roman" w:hAnsi="Times New Roman" w:eastAsia="仿宋_GB2312" w:cs="Times New Roman"/>
          <w:color w:val="000000"/>
          <w:sz w:val="32"/>
          <w:szCs w:val="32"/>
          <w:highlight w:val="none"/>
        </w:rPr>
        <w:t>提升生育保险管理服务水平</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合理确定享受生育津贴待遇所需满足的连续</w:t>
      </w:r>
      <w:r>
        <w:rPr>
          <w:rFonts w:hint="default" w:ascii="Times New Roman" w:hAnsi="Times New Roman" w:eastAsia="仿宋_GB2312" w:cs="Times New Roman"/>
          <w:color w:val="000000"/>
          <w:sz w:val="32"/>
          <w:szCs w:val="32"/>
          <w:highlight w:val="none"/>
          <w:lang w:eastAsia="zh-CN"/>
        </w:rPr>
        <w:t>参保缴费时长，稳定长期参保预期。实现参保人员生育医疗费用直接结算，生育津贴按程序直接发放至参保人手中，做好新生儿参保工作，持续推动落实新生儿“出生一件事”联办，实现“出生即参、待遇即享”。</w:t>
      </w:r>
    </w:p>
    <w:bookmarkEnd w:id="7"/>
    <w:p>
      <w:pPr>
        <w:spacing w:line="600" w:lineRule="exact"/>
        <w:ind w:firstLine="643" w:firstLineChars="200"/>
        <w:rPr>
          <w:rFonts w:hint="default" w:ascii="Times New Roman" w:hAnsi="Times New Roman" w:eastAsia="仿宋_GB2312" w:cs="Times New Roman"/>
          <w:color w:val="000000"/>
          <w:sz w:val="32"/>
          <w:szCs w:val="32"/>
          <w:highlight w:val="none"/>
          <w:u w:val="single" w:color="C00000"/>
          <w:lang w:eastAsia="zh-CN"/>
        </w:rPr>
      </w:pPr>
      <w:r>
        <w:rPr>
          <w:rFonts w:hint="default" w:ascii="Times New Roman" w:hAnsi="Times New Roman" w:eastAsia="仿宋_GB2312" w:cs="Times New Roman"/>
          <w:b/>
          <w:bCs/>
          <w:color w:val="000000"/>
          <w:sz w:val="32"/>
          <w:szCs w:val="32"/>
          <w:highlight w:val="none"/>
          <w:lang w:eastAsia="zh-CN"/>
        </w:rPr>
        <w:t>3.规范大病保险制度。</w:t>
      </w:r>
      <w:r>
        <w:rPr>
          <w:rFonts w:hint="default" w:ascii="Times New Roman" w:hAnsi="Times New Roman" w:eastAsia="仿宋_GB2312" w:cs="Times New Roman"/>
          <w:color w:val="000000"/>
          <w:sz w:val="32"/>
          <w:szCs w:val="32"/>
          <w:highlight w:val="none"/>
          <w:lang w:eastAsia="zh-CN"/>
        </w:rPr>
        <w:t>完善城乡居民大病保险制度，</w:t>
      </w:r>
      <w:r>
        <w:rPr>
          <w:rFonts w:hint="default" w:ascii="Times New Roman" w:hAnsi="Times New Roman" w:eastAsia="仿宋_GB2312" w:cs="Times New Roman"/>
          <w:color w:val="000000"/>
          <w:sz w:val="32"/>
          <w:szCs w:val="32"/>
          <w:highlight w:val="none"/>
          <w:lang w:val="en-US" w:eastAsia="zh-CN"/>
        </w:rPr>
        <w:t>规范</w:t>
      </w:r>
      <w:r>
        <w:rPr>
          <w:rFonts w:hint="default" w:ascii="Times New Roman" w:hAnsi="Times New Roman" w:eastAsia="仿宋_GB2312" w:cs="Times New Roman"/>
          <w:color w:val="000000"/>
          <w:sz w:val="32"/>
          <w:szCs w:val="32"/>
          <w:highlight w:val="none"/>
          <w:lang w:eastAsia="zh-CN"/>
        </w:rPr>
        <w:t>大病保险支付范围，逐步实现大病保险支付范围向基本医疗保险支付范围靠拢，合理确定筹资标准、起付标准、最高支付限额</w:t>
      </w:r>
      <w:r>
        <w:rPr>
          <w:rFonts w:hint="eastAsia" w:ascii="Times New Roman" w:hAnsi="Times New Roman" w:eastAsia="仿宋_GB2312" w:cs="Times New Roman"/>
          <w:color w:val="000000"/>
          <w:sz w:val="32"/>
          <w:szCs w:val="32"/>
          <w:highlight w:val="none"/>
          <w:lang w:val="en-US" w:eastAsia="zh-CN"/>
        </w:rPr>
        <w:t>等</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加强</w:t>
      </w:r>
      <w:r>
        <w:rPr>
          <w:rFonts w:hint="default" w:ascii="Times New Roman" w:hAnsi="Times New Roman" w:eastAsia="仿宋_GB2312" w:cs="Times New Roman"/>
          <w:color w:val="000000"/>
          <w:sz w:val="32"/>
          <w:szCs w:val="32"/>
          <w:highlight w:val="none"/>
          <w:lang w:eastAsia="zh-CN"/>
        </w:rPr>
        <w:t>大病保险预算管理和运行监测，确保基金稳健运行。规范职工大病保险制度。健全大病保险资金使用和经办管理机制。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b/>
          <w:bCs/>
          <w:color w:val="000000"/>
          <w:sz w:val="32"/>
          <w:szCs w:val="32"/>
          <w:highlight w:val="none"/>
          <w:lang w:eastAsia="zh-CN"/>
        </w:rPr>
        <w:t>4.完善医疗救助制度。</w:t>
      </w:r>
      <w:r>
        <w:rPr>
          <w:rFonts w:hint="default" w:ascii="Times New Roman" w:hAnsi="Times New Roman" w:eastAsia="仿宋_GB2312" w:cs="Times New Roman"/>
          <w:color w:val="000000"/>
          <w:sz w:val="32"/>
          <w:szCs w:val="32"/>
          <w:highlight w:val="none"/>
          <w:lang w:eastAsia="zh-CN"/>
        </w:rPr>
        <w:t>落实分类资助参保，合理确定救助标准。建立健全医疗救助对象信息共享和高额医疗费用负担患者监测预警机制，完善防范化解因病返贫致贫长效机制。做好医疗救助对象就医服务管理，合理控制定点医疗机构住院医保目录外费用占比，切实减轻困难群众医保目录外费用负担。统筹考量医疗救助工作需求与基金结余等情况，科学测算、合理安排医疗救助财政补助资金，探索建立医疗救助基金多渠道筹资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8" w:name="_Toc3757"/>
      <w:r>
        <w:rPr>
          <w:rFonts w:hint="default" w:ascii="Times New Roman" w:hAnsi="Times New Roman" w:eastAsia="仿宋_GB2312" w:cs="Times New Roman"/>
          <w:b/>
          <w:bCs/>
          <w:color w:val="000000"/>
          <w:sz w:val="32"/>
          <w:szCs w:val="32"/>
          <w:highlight w:val="none"/>
          <w:lang w:eastAsia="zh-CN"/>
        </w:rPr>
        <w:t>5.引导商业</w:t>
      </w:r>
      <w:r>
        <w:rPr>
          <w:rFonts w:hint="default" w:ascii="Times New Roman" w:hAnsi="Times New Roman" w:eastAsia="仿宋_GB2312" w:cs="Times New Roman"/>
          <w:b/>
          <w:bCs/>
          <w:color w:val="000000"/>
          <w:sz w:val="32"/>
          <w:szCs w:val="32"/>
          <w:highlight w:val="none"/>
          <w:lang w:val="en-US" w:eastAsia="zh-CN"/>
        </w:rPr>
        <w:t>医疗</w:t>
      </w:r>
      <w:r>
        <w:rPr>
          <w:rFonts w:hint="default" w:ascii="Times New Roman" w:hAnsi="Times New Roman" w:eastAsia="仿宋_GB2312" w:cs="Times New Roman"/>
          <w:b/>
          <w:bCs/>
          <w:color w:val="000000"/>
          <w:sz w:val="32"/>
          <w:szCs w:val="32"/>
          <w:highlight w:val="none"/>
          <w:lang w:eastAsia="zh-CN"/>
        </w:rPr>
        <w:t>保险发展</w:t>
      </w:r>
      <w:bookmarkEnd w:id="8"/>
      <w:r>
        <w:rPr>
          <w:rFonts w:hint="default" w:ascii="Times New Roman" w:hAnsi="Times New Roman" w:eastAsia="仿宋_GB2312" w:cs="Times New Roman"/>
          <w:b/>
          <w:bCs/>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eastAsia="zh-CN"/>
        </w:rPr>
        <w:t>鼓励商业</w:t>
      </w:r>
      <w:r>
        <w:rPr>
          <w:rFonts w:hint="default" w:ascii="Times New Roman" w:hAnsi="Times New Roman" w:eastAsia="仿宋_GB2312" w:cs="Times New Roman"/>
          <w:color w:val="000000"/>
          <w:sz w:val="32"/>
          <w:szCs w:val="32"/>
          <w:highlight w:val="none"/>
          <w:lang w:val="en-US" w:eastAsia="zh-CN"/>
        </w:rPr>
        <w:t>医疗</w:t>
      </w:r>
      <w:r>
        <w:rPr>
          <w:rFonts w:hint="default" w:ascii="Times New Roman" w:hAnsi="Times New Roman" w:eastAsia="仿宋_GB2312" w:cs="Times New Roman"/>
          <w:color w:val="000000"/>
          <w:sz w:val="32"/>
          <w:szCs w:val="32"/>
          <w:highlight w:val="none"/>
          <w:lang w:eastAsia="zh-CN"/>
        </w:rPr>
        <w:t>保险与基本医疗保险衔接互补、差异化发展，更好满足</w:t>
      </w:r>
      <w:r>
        <w:rPr>
          <w:rFonts w:hint="default" w:ascii="Times New Roman" w:hAnsi="Times New Roman" w:eastAsia="仿宋_GB2312" w:cs="Times New Roman"/>
          <w:color w:val="000000"/>
          <w:sz w:val="32"/>
          <w:szCs w:val="32"/>
          <w:highlight w:val="none"/>
          <w:lang w:val="en-US" w:eastAsia="zh-CN"/>
        </w:rPr>
        <w:t>多样化</w:t>
      </w:r>
      <w:r>
        <w:rPr>
          <w:rFonts w:hint="default" w:ascii="Times New Roman" w:hAnsi="Times New Roman" w:eastAsia="仿宋_GB2312" w:cs="Times New Roman"/>
          <w:color w:val="000000"/>
          <w:sz w:val="32"/>
          <w:szCs w:val="32"/>
          <w:highlight w:val="none"/>
          <w:lang w:eastAsia="zh-CN"/>
        </w:rPr>
        <w:t>医疗需求。围绕公平普惠和准公益性要求优化产品设计，支持保险机构开发与基本医保紧密衔接的普惠型产品，推动“湖南医惠保”升级扩面，鼓励相关产品扩大创新药品、新型医疗器械和前沿诊疗技术的保障覆盖范围。稳妥推进医保与商保数据合规共享、同步结算。</w:t>
      </w:r>
    </w:p>
    <w:p>
      <w:pPr>
        <w:spacing w:line="600" w:lineRule="exact"/>
        <w:ind w:firstLine="643" w:firstLineChars="200"/>
        <w:rPr>
          <w:rFonts w:hint="default" w:ascii="Times New Roman" w:hAnsi="Times New Roman" w:eastAsia="仿宋_GB2312" w:cs="Times New Roman"/>
          <w:b w:val="0"/>
          <w:bCs w:val="0"/>
          <w:color w:val="000000"/>
          <w:sz w:val="32"/>
          <w:szCs w:val="32"/>
          <w:highlight w:val="none"/>
          <w:lang w:eastAsia="zh-CN"/>
        </w:rPr>
      </w:pPr>
      <w:r>
        <w:rPr>
          <w:rFonts w:hint="default" w:ascii="Times New Roman" w:hAnsi="Times New Roman" w:eastAsia="仿宋_GB2312" w:cs="Times New Roman"/>
          <w:b/>
          <w:bCs/>
          <w:color w:val="000000"/>
          <w:sz w:val="32"/>
          <w:szCs w:val="32"/>
          <w:highlight w:val="none"/>
          <w:lang w:eastAsia="zh-CN"/>
        </w:rPr>
        <w:t>6.支持职工互助保障、慈善救助等医疗保障有序发展。</w:t>
      </w:r>
      <w:r>
        <w:rPr>
          <w:rFonts w:hint="default" w:ascii="Times New Roman" w:hAnsi="Times New Roman" w:eastAsia="仿宋_GB2312" w:cs="Times New Roman"/>
          <w:b w:val="0"/>
          <w:bCs w:val="0"/>
          <w:color w:val="000000"/>
          <w:sz w:val="32"/>
          <w:szCs w:val="32"/>
          <w:highlight w:val="none"/>
          <w:lang w:eastAsia="zh-CN"/>
        </w:rPr>
        <w:t>支持推动职工互助保障制度与职工医保有效衔接、同步结算。建立健全多元化</w:t>
      </w:r>
      <w:r>
        <w:rPr>
          <w:rFonts w:hint="default" w:ascii="Times New Roman" w:hAnsi="Times New Roman" w:eastAsia="仿宋_GB2312" w:cs="Times New Roman"/>
          <w:b w:val="0"/>
          <w:bCs w:val="0"/>
          <w:color w:val="000000"/>
          <w:sz w:val="32"/>
          <w:szCs w:val="32"/>
          <w:highlight w:val="none"/>
          <w:lang w:val="en-US" w:eastAsia="zh-CN"/>
        </w:rPr>
        <w:t>医疗</w:t>
      </w:r>
      <w:r>
        <w:rPr>
          <w:rFonts w:hint="default" w:ascii="Times New Roman" w:hAnsi="Times New Roman" w:eastAsia="仿宋_GB2312" w:cs="Times New Roman"/>
          <w:b w:val="0"/>
          <w:bCs w:val="0"/>
          <w:color w:val="000000"/>
          <w:sz w:val="32"/>
          <w:szCs w:val="32"/>
          <w:highlight w:val="none"/>
          <w:lang w:eastAsia="zh-CN"/>
        </w:rPr>
        <w:t>救助体系，支持社会力量参与大病救助，鼓励慈善组织和其他社会组织设立大病救助项目。</w:t>
      </w:r>
    </w:p>
    <w:p>
      <w:pPr>
        <w:spacing w:line="600" w:lineRule="exact"/>
        <w:ind w:firstLine="640" w:firstLineChars="200"/>
        <w:rPr>
          <w:rFonts w:hint="default" w:ascii="Times New Roman" w:hAnsi="Times New Roman" w:eastAsia="楷体" w:cs="Times New Roman"/>
          <w:color w:val="000000"/>
          <w:sz w:val="32"/>
          <w:szCs w:val="32"/>
          <w:highlight w:val="none"/>
        </w:rPr>
      </w:pPr>
      <w:bookmarkStart w:id="9" w:name="_Toc24945"/>
      <w:r>
        <w:rPr>
          <w:rFonts w:hint="default" w:ascii="Times New Roman" w:hAnsi="Times New Roman" w:eastAsia="楷体" w:cs="Times New Roman"/>
          <w:color w:val="000000"/>
          <w:sz w:val="32"/>
          <w:szCs w:val="32"/>
          <w:highlight w:val="none"/>
        </w:rPr>
        <w:t>（二）推动长期护理保险制度定型</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10" w:name="_Toc1349"/>
      <w:r>
        <w:rPr>
          <w:rFonts w:hint="default" w:ascii="Times New Roman" w:hAnsi="Times New Roman" w:eastAsia="仿宋_GB2312" w:cs="Times New Roman"/>
          <w:b/>
          <w:bCs/>
          <w:color w:val="000000"/>
          <w:sz w:val="32"/>
          <w:szCs w:val="32"/>
          <w:highlight w:val="none"/>
        </w:rPr>
        <w:t>1.全面建立长期护理保险制度</w:t>
      </w:r>
      <w:bookmarkEnd w:id="10"/>
      <w:r>
        <w:rPr>
          <w:rFonts w:hint="default" w:ascii="Times New Roman" w:hAnsi="Times New Roman" w:eastAsia="仿宋_GB2312" w:cs="Times New Roman"/>
          <w:b/>
          <w:bCs/>
          <w:color w:val="000000"/>
          <w:sz w:val="32"/>
          <w:szCs w:val="32"/>
          <w:highlight w:val="none"/>
        </w:rPr>
        <w:t>。</w:t>
      </w:r>
      <w:r>
        <w:rPr>
          <w:rFonts w:hint="default" w:ascii="Times New Roman" w:hAnsi="Times New Roman" w:eastAsia="仿宋_GB2312" w:cs="Times New Roman"/>
          <w:color w:val="000000"/>
          <w:sz w:val="32"/>
          <w:szCs w:val="32"/>
          <w:highlight w:val="none"/>
        </w:rPr>
        <w:t>分步实施、稳妥有序推进长期护理保险制度建设，到2028年，基本建立与我省经济发展水平相适应、覆盖全省的长期护理保险制度。从覆盖单位职工、退休人员、灵活就业人员等人群起步，逐步将未就业城乡居民纳入保障范围。建立互助共济、责任共担</w:t>
      </w:r>
      <w:r>
        <w:rPr>
          <w:rFonts w:hint="default" w:ascii="Times New Roman" w:hAnsi="Times New Roman" w:eastAsia="仿宋_GB2312" w:cs="Times New Roman"/>
          <w:color w:val="000000"/>
          <w:sz w:val="32"/>
          <w:szCs w:val="32"/>
          <w:highlight w:val="none"/>
          <w:lang w:eastAsia="zh-CN"/>
        </w:rPr>
        <w:t>的</w:t>
      </w:r>
      <w:r>
        <w:rPr>
          <w:rFonts w:hint="default" w:ascii="Times New Roman" w:hAnsi="Times New Roman" w:eastAsia="仿宋_GB2312" w:cs="Times New Roman"/>
          <w:color w:val="000000"/>
          <w:sz w:val="32"/>
          <w:szCs w:val="32"/>
          <w:highlight w:val="none"/>
        </w:rPr>
        <w:t>多元筹资机制</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统一制度安排，基金统一建账、资金统筹使用，从市级统筹起步、有序推进省级统筹</w:t>
      </w:r>
      <w:r>
        <w:rPr>
          <w:rFonts w:hint="default" w:ascii="Times New Roman" w:hAnsi="Times New Roman" w:eastAsia="仿宋_GB2312" w:cs="Times New Roman"/>
          <w:color w:val="000000"/>
          <w:sz w:val="32"/>
          <w:szCs w:val="32"/>
          <w:highlight w:val="none"/>
        </w:rPr>
        <w:t>。建立公平适度的待遇保障机制，合理确定保障对象和待遇标准</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建立健全参保激励约束机制。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11" w:name="_Toc18485"/>
      <w:r>
        <w:rPr>
          <w:rFonts w:hint="default" w:ascii="Times New Roman" w:hAnsi="Times New Roman" w:eastAsia="仿宋_GB2312" w:cs="Times New Roman"/>
          <w:b/>
          <w:bCs/>
          <w:color w:val="000000"/>
          <w:sz w:val="32"/>
          <w:szCs w:val="32"/>
          <w:highlight w:val="none"/>
        </w:rPr>
        <w:t>2.健全长期护理保险管理运行机制</w:t>
      </w:r>
      <w:bookmarkEnd w:id="11"/>
      <w:r>
        <w:rPr>
          <w:rFonts w:hint="default" w:ascii="Times New Roman" w:hAnsi="Times New Roman" w:eastAsia="仿宋_GB2312" w:cs="Times New Roman"/>
          <w:b/>
          <w:bCs/>
          <w:color w:val="000000"/>
          <w:sz w:val="32"/>
          <w:szCs w:val="32"/>
          <w:highlight w:val="none"/>
        </w:rPr>
        <w:t>。</w:t>
      </w:r>
      <w:r>
        <w:rPr>
          <w:rFonts w:hint="default" w:ascii="Times New Roman" w:hAnsi="Times New Roman" w:eastAsia="仿宋_GB2312" w:cs="Times New Roman"/>
          <w:color w:val="000000"/>
          <w:sz w:val="32"/>
          <w:szCs w:val="32"/>
          <w:highlight w:val="none"/>
        </w:rPr>
        <w:t>规范执行全国统一的长期护理保险服务项目目录、失能等级评估标准</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管理办法</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推动</w:t>
      </w:r>
      <w:r>
        <w:rPr>
          <w:rFonts w:hint="default" w:ascii="Times New Roman" w:hAnsi="Times New Roman" w:eastAsia="仿宋_GB2312" w:cs="Times New Roman"/>
          <w:color w:val="000000"/>
          <w:sz w:val="32"/>
          <w:szCs w:val="32"/>
          <w:highlight w:val="none"/>
        </w:rPr>
        <w:t>建立失能等级评估结果</w:t>
      </w:r>
      <w:r>
        <w:rPr>
          <w:rFonts w:hint="default" w:ascii="Times New Roman" w:hAnsi="Times New Roman" w:eastAsia="仿宋_GB2312" w:cs="Times New Roman"/>
          <w:color w:val="000000"/>
          <w:sz w:val="32"/>
          <w:szCs w:val="32"/>
          <w:highlight w:val="none"/>
          <w:lang w:val="en-US" w:eastAsia="zh-CN"/>
        </w:rPr>
        <w:t>全省互认，有关部门按需使用</w:t>
      </w:r>
      <w:r>
        <w:rPr>
          <w:rFonts w:hint="default" w:ascii="Times New Roman" w:hAnsi="Times New Roman" w:eastAsia="仿宋_GB2312" w:cs="Times New Roman"/>
          <w:color w:val="000000"/>
          <w:sz w:val="32"/>
          <w:szCs w:val="32"/>
          <w:highlight w:val="none"/>
        </w:rPr>
        <w:t>。加强失能等级评估机构、</w:t>
      </w:r>
      <w:r>
        <w:rPr>
          <w:rFonts w:hint="default" w:ascii="Times New Roman" w:hAnsi="Times New Roman" w:eastAsia="仿宋_GB2312" w:cs="Times New Roman"/>
          <w:color w:val="000000"/>
          <w:sz w:val="32"/>
          <w:szCs w:val="32"/>
          <w:highlight w:val="none"/>
          <w:lang w:eastAsia="zh-CN"/>
        </w:rPr>
        <w:t>长期</w:t>
      </w:r>
      <w:r>
        <w:rPr>
          <w:rFonts w:hint="default" w:ascii="Times New Roman" w:hAnsi="Times New Roman" w:eastAsia="仿宋_GB2312" w:cs="Times New Roman"/>
          <w:color w:val="000000"/>
          <w:sz w:val="32"/>
          <w:szCs w:val="32"/>
          <w:highlight w:val="none"/>
        </w:rPr>
        <w:t>护</w:t>
      </w:r>
      <w:r>
        <w:rPr>
          <w:rFonts w:hint="default" w:ascii="Times New Roman" w:hAnsi="Times New Roman" w:eastAsia="仿宋_GB2312" w:cs="Times New Roman"/>
          <w:color w:val="000000"/>
          <w:sz w:val="32"/>
          <w:szCs w:val="32"/>
          <w:highlight w:val="none"/>
          <w:lang w:eastAsia="zh-CN"/>
        </w:rPr>
        <w:t>理</w:t>
      </w:r>
      <w:r>
        <w:rPr>
          <w:rFonts w:hint="default" w:ascii="Times New Roman" w:hAnsi="Times New Roman" w:eastAsia="仿宋_GB2312" w:cs="Times New Roman"/>
          <w:color w:val="000000"/>
          <w:sz w:val="32"/>
          <w:szCs w:val="32"/>
          <w:highlight w:val="none"/>
        </w:rPr>
        <w:t>服务机构</w:t>
      </w:r>
      <w:r>
        <w:rPr>
          <w:rFonts w:hint="default" w:ascii="Times New Roman" w:hAnsi="Times New Roman" w:eastAsia="仿宋_GB2312" w:cs="Times New Roman"/>
          <w:color w:val="000000"/>
          <w:sz w:val="32"/>
          <w:szCs w:val="32"/>
          <w:highlight w:val="none"/>
          <w:lang w:eastAsia="zh-CN"/>
        </w:rPr>
        <w:t>的</w:t>
      </w:r>
      <w:r>
        <w:rPr>
          <w:rFonts w:hint="default" w:ascii="Times New Roman" w:hAnsi="Times New Roman" w:eastAsia="仿宋_GB2312" w:cs="Times New Roman"/>
          <w:color w:val="000000"/>
          <w:sz w:val="32"/>
          <w:szCs w:val="32"/>
          <w:highlight w:val="none"/>
        </w:rPr>
        <w:t>定点管理</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合理配置定点</w:t>
      </w:r>
      <w:r>
        <w:rPr>
          <w:rFonts w:hint="default" w:ascii="Times New Roman" w:hAnsi="Times New Roman" w:eastAsia="仿宋_GB2312" w:cs="Times New Roman"/>
          <w:color w:val="000000"/>
          <w:sz w:val="32"/>
          <w:szCs w:val="32"/>
          <w:highlight w:val="none"/>
          <w:lang w:eastAsia="zh-CN"/>
        </w:rPr>
        <w:t>长期</w:t>
      </w:r>
      <w:r>
        <w:rPr>
          <w:rFonts w:hint="default" w:ascii="Times New Roman" w:hAnsi="Times New Roman" w:eastAsia="仿宋_GB2312" w:cs="Times New Roman"/>
          <w:color w:val="000000"/>
          <w:sz w:val="32"/>
          <w:szCs w:val="32"/>
          <w:highlight w:val="none"/>
        </w:rPr>
        <w:t>护</w:t>
      </w:r>
      <w:r>
        <w:rPr>
          <w:rFonts w:hint="default" w:ascii="Times New Roman" w:hAnsi="Times New Roman" w:eastAsia="仿宋_GB2312" w:cs="Times New Roman"/>
          <w:color w:val="000000"/>
          <w:sz w:val="32"/>
          <w:szCs w:val="32"/>
          <w:highlight w:val="none"/>
          <w:lang w:eastAsia="zh-CN"/>
        </w:rPr>
        <w:t>理</w:t>
      </w:r>
      <w:r>
        <w:rPr>
          <w:rFonts w:hint="default" w:ascii="Times New Roman" w:hAnsi="Times New Roman" w:eastAsia="仿宋_GB2312" w:cs="Times New Roman"/>
          <w:color w:val="000000"/>
          <w:sz w:val="32"/>
          <w:szCs w:val="32"/>
          <w:highlight w:val="none"/>
        </w:rPr>
        <w:t>服务机构资源</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健全失能人员照护体系，促进长期护理服务供给能力提升。建立符合长期护理保险服务特点的支付机制</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协商谈判机制，明确各类支付方式</w:t>
      </w:r>
      <w:r>
        <w:rPr>
          <w:rFonts w:hint="default" w:ascii="Times New Roman" w:hAnsi="Times New Roman" w:eastAsia="仿宋_GB2312" w:cs="Times New Roman"/>
          <w:color w:val="000000"/>
          <w:sz w:val="32"/>
          <w:szCs w:val="32"/>
          <w:highlight w:val="none"/>
          <w:lang w:eastAsia="zh-CN"/>
        </w:rPr>
        <w:t>的</w:t>
      </w:r>
      <w:r>
        <w:rPr>
          <w:rFonts w:hint="default" w:ascii="Times New Roman" w:hAnsi="Times New Roman" w:eastAsia="仿宋_GB2312" w:cs="Times New Roman"/>
          <w:color w:val="000000"/>
          <w:sz w:val="32"/>
          <w:szCs w:val="32"/>
          <w:highlight w:val="none"/>
        </w:rPr>
        <w:t>适用范围。加强长期照护人才队伍建设，推进长期照护师培训培养</w:t>
      </w:r>
      <w:r>
        <w:rPr>
          <w:rFonts w:hint="default" w:ascii="Times New Roman" w:hAnsi="Times New Roman" w:eastAsia="仿宋_GB2312" w:cs="Times New Roman"/>
          <w:color w:val="000000"/>
          <w:sz w:val="32"/>
          <w:szCs w:val="32"/>
          <w:highlight w:val="none"/>
          <w:lang w:eastAsia="zh-CN"/>
        </w:rPr>
        <w:t>工作，</w:t>
      </w:r>
      <w:r>
        <w:rPr>
          <w:rFonts w:hint="default" w:ascii="Times New Roman" w:hAnsi="Times New Roman" w:eastAsia="仿宋_GB2312" w:cs="Times New Roman"/>
          <w:color w:val="000000"/>
          <w:sz w:val="32"/>
          <w:szCs w:val="32"/>
          <w:highlight w:val="none"/>
        </w:rPr>
        <w:t>建立健全长期护理保险服务质量评价机制</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费用控制激励约束机制。建立长期护理保险基金监管体系，健全基金运行监控</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风险防范机制。</w:t>
      </w:r>
    </w:p>
    <w:p>
      <w:pPr>
        <w:spacing w:line="580" w:lineRule="exact"/>
        <w:ind w:firstLine="643" w:firstLineChars="200"/>
        <w:rPr>
          <w:rFonts w:hint="default" w:ascii="Times New Roman" w:hAnsi="Times New Roman" w:eastAsia="仿宋_GB2312" w:cs="Times New Roman"/>
          <w:color w:val="000000"/>
          <w:sz w:val="32"/>
          <w:szCs w:val="32"/>
          <w:highlight w:val="none"/>
        </w:rPr>
      </w:pPr>
      <w:bookmarkStart w:id="12" w:name="_Toc1875"/>
      <w:r>
        <w:rPr>
          <w:rFonts w:hint="default" w:ascii="Times New Roman" w:hAnsi="Times New Roman" w:eastAsia="仿宋_GB2312" w:cs="Times New Roman"/>
          <w:b/>
          <w:bCs/>
          <w:color w:val="000000"/>
          <w:sz w:val="32"/>
          <w:szCs w:val="32"/>
          <w:highlight w:val="none"/>
        </w:rPr>
        <w:t>3.提升长期护理保险经办管理服务能力</w:t>
      </w:r>
      <w:bookmarkEnd w:id="12"/>
      <w:r>
        <w:rPr>
          <w:rFonts w:hint="default" w:ascii="Times New Roman" w:hAnsi="Times New Roman" w:eastAsia="仿宋_GB2312" w:cs="Times New Roman"/>
          <w:b/>
          <w:bCs/>
          <w:color w:val="000000"/>
          <w:sz w:val="32"/>
          <w:szCs w:val="32"/>
          <w:highlight w:val="none"/>
        </w:rPr>
        <w:t>。</w:t>
      </w:r>
      <w:r>
        <w:rPr>
          <w:rFonts w:hint="default" w:ascii="Times New Roman" w:hAnsi="Times New Roman" w:eastAsia="仿宋_GB2312" w:cs="Times New Roman"/>
          <w:color w:val="000000"/>
          <w:sz w:val="32"/>
          <w:szCs w:val="32"/>
          <w:highlight w:val="none"/>
        </w:rPr>
        <w:t>坚持政府主导，构建以政府经办为基础、社会力量为补充的经办管理服务体系。统一规范长期护理保险失能评估、护理服务、定点评估机构</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定点</w:t>
      </w:r>
      <w:r>
        <w:rPr>
          <w:rFonts w:hint="default" w:ascii="Times New Roman" w:hAnsi="Times New Roman" w:eastAsia="仿宋_GB2312" w:cs="Times New Roman"/>
          <w:color w:val="000000"/>
          <w:sz w:val="32"/>
          <w:szCs w:val="32"/>
          <w:highlight w:val="none"/>
          <w:lang w:eastAsia="zh-CN"/>
        </w:rPr>
        <w:t>长期</w:t>
      </w:r>
      <w:r>
        <w:rPr>
          <w:rFonts w:hint="default" w:ascii="Times New Roman" w:hAnsi="Times New Roman" w:eastAsia="仿宋_GB2312" w:cs="Times New Roman"/>
          <w:color w:val="000000"/>
          <w:sz w:val="32"/>
          <w:szCs w:val="32"/>
          <w:highlight w:val="none"/>
        </w:rPr>
        <w:t>护</w:t>
      </w:r>
      <w:r>
        <w:rPr>
          <w:rFonts w:hint="default" w:ascii="Times New Roman" w:hAnsi="Times New Roman" w:eastAsia="仿宋_GB2312" w:cs="Times New Roman"/>
          <w:color w:val="000000"/>
          <w:sz w:val="32"/>
          <w:szCs w:val="32"/>
          <w:highlight w:val="none"/>
          <w:lang w:eastAsia="zh-CN"/>
        </w:rPr>
        <w:t>理</w:t>
      </w:r>
      <w:r>
        <w:rPr>
          <w:rFonts w:hint="default" w:ascii="Times New Roman" w:hAnsi="Times New Roman" w:eastAsia="仿宋_GB2312" w:cs="Times New Roman"/>
          <w:color w:val="000000"/>
          <w:sz w:val="32"/>
          <w:szCs w:val="32"/>
          <w:highlight w:val="none"/>
        </w:rPr>
        <w:t>服务机构协议管理、基金管理、审核核查、信息</w:t>
      </w:r>
      <w:r>
        <w:rPr>
          <w:rFonts w:hint="default" w:ascii="Times New Roman" w:hAnsi="Times New Roman" w:eastAsia="仿宋_GB2312" w:cs="Times New Roman"/>
          <w:color w:val="000000"/>
          <w:sz w:val="32"/>
          <w:szCs w:val="32"/>
          <w:highlight w:val="none"/>
          <w:lang w:eastAsia="zh-CN"/>
        </w:rPr>
        <w:t>及</w:t>
      </w:r>
      <w:r>
        <w:rPr>
          <w:rFonts w:hint="default" w:ascii="Times New Roman" w:hAnsi="Times New Roman" w:eastAsia="仿宋_GB2312" w:cs="Times New Roman"/>
          <w:color w:val="000000"/>
          <w:sz w:val="32"/>
          <w:szCs w:val="32"/>
          <w:highlight w:val="none"/>
        </w:rPr>
        <w:t>档案管理等</w:t>
      </w:r>
      <w:r>
        <w:rPr>
          <w:rFonts w:hint="default" w:ascii="Times New Roman" w:hAnsi="Times New Roman" w:eastAsia="仿宋_GB2312" w:cs="Times New Roman"/>
          <w:color w:val="000000"/>
          <w:sz w:val="32"/>
          <w:szCs w:val="32"/>
          <w:highlight w:val="none"/>
          <w:lang w:eastAsia="zh-CN"/>
        </w:rPr>
        <w:t>各项</w:t>
      </w:r>
      <w:r>
        <w:rPr>
          <w:rFonts w:hint="default" w:ascii="Times New Roman" w:hAnsi="Times New Roman" w:eastAsia="仿宋_GB2312" w:cs="Times New Roman"/>
          <w:color w:val="000000"/>
          <w:sz w:val="32"/>
          <w:szCs w:val="32"/>
          <w:highlight w:val="none"/>
        </w:rPr>
        <w:t>工作</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有序规范引入社会力量参与经办管理服务。</w:t>
      </w:r>
      <w:r>
        <w:rPr>
          <w:rFonts w:hint="default" w:ascii="Times New Roman" w:hAnsi="Times New Roman" w:eastAsia="仿宋_GB2312" w:cs="Times New Roman"/>
          <w:color w:val="000000"/>
          <w:sz w:val="32"/>
          <w:szCs w:val="32"/>
          <w:highlight w:val="none"/>
          <w:lang w:eastAsia="zh-CN"/>
        </w:rPr>
        <w:t>推动</w:t>
      </w:r>
      <w:r>
        <w:rPr>
          <w:rFonts w:hint="default" w:ascii="Times New Roman" w:hAnsi="Times New Roman" w:eastAsia="仿宋_GB2312" w:cs="Times New Roman"/>
          <w:color w:val="000000"/>
          <w:sz w:val="32"/>
          <w:szCs w:val="32"/>
          <w:highlight w:val="none"/>
        </w:rPr>
        <w:t>全国统一的长期护理保险子系统落地应用，加强长期护理保险智能审核</w:t>
      </w:r>
      <w:r>
        <w:rPr>
          <w:rFonts w:hint="default" w:ascii="Times New Roman" w:hAnsi="Times New Roman" w:eastAsia="仿宋_GB2312" w:cs="Times New Roman"/>
          <w:color w:val="000000"/>
          <w:sz w:val="32"/>
          <w:szCs w:val="32"/>
          <w:highlight w:val="none"/>
          <w:lang w:eastAsia="zh-CN"/>
        </w:rPr>
        <w:t>工作，</w:t>
      </w:r>
      <w:r>
        <w:rPr>
          <w:rFonts w:hint="default" w:ascii="Times New Roman" w:hAnsi="Times New Roman" w:eastAsia="仿宋_GB2312" w:cs="Times New Roman"/>
          <w:color w:val="000000"/>
          <w:sz w:val="32"/>
          <w:szCs w:val="32"/>
          <w:highlight w:val="none"/>
        </w:rPr>
        <w:t>推动建立异地长期护理保险联网结算机制。</w:t>
      </w:r>
    </w:p>
    <w:p>
      <w:pPr>
        <w:spacing w:line="580" w:lineRule="exact"/>
        <w:ind w:firstLine="640" w:firstLineChars="200"/>
        <w:outlineLvl w:val="1"/>
        <w:rPr>
          <w:rFonts w:hint="default" w:ascii="Times New Roman" w:hAnsi="Times New Roman" w:eastAsia="楷体_GB2312" w:cs="Times New Roman"/>
          <w:color w:val="000000"/>
          <w:sz w:val="32"/>
          <w:szCs w:val="32"/>
          <w:highlight w:val="none"/>
        </w:rPr>
      </w:pPr>
      <w:r>
        <w:rPr>
          <w:rFonts w:hint="default" w:ascii="Times New Roman" w:hAnsi="Times New Roman" w:eastAsia="楷体_GB2312" w:cs="Times New Roman"/>
          <w:color w:val="000000"/>
          <w:sz w:val="32"/>
          <w:szCs w:val="32"/>
          <w:highlight w:val="none"/>
        </w:rPr>
        <w:t>（三）完善可持续筹资运行机制</w:t>
      </w:r>
    </w:p>
    <w:p>
      <w:pPr>
        <w:spacing w:line="580" w:lineRule="exact"/>
        <w:ind w:firstLine="643"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1.持续提升全民医保参保质量。</w:t>
      </w:r>
      <w:r>
        <w:rPr>
          <w:rFonts w:hint="default" w:ascii="Times New Roman" w:hAnsi="Times New Roman" w:eastAsia="仿宋_GB2312" w:cs="Times New Roman"/>
          <w:color w:val="000000"/>
          <w:sz w:val="32"/>
          <w:szCs w:val="32"/>
          <w:highlight w:val="none"/>
        </w:rPr>
        <w:t>深入实施全民参保计划，贯彻落实基本医疗保险参保长效机制。建好用好“一人一档”全民参保数据库，打通公安、民政、卫生健康等跨部门数据壁垒，建立参保数据动态更新与质量治理机制，实现未参保人员精准识别，提升全民参保动员</w:t>
      </w:r>
      <w:r>
        <w:rPr>
          <w:rFonts w:hint="default" w:ascii="Times New Roman" w:hAnsi="Times New Roman" w:eastAsia="仿宋_GB2312" w:cs="Times New Roman"/>
          <w:color w:val="000000"/>
          <w:sz w:val="32"/>
          <w:szCs w:val="32"/>
          <w:highlight w:val="none"/>
          <w:lang w:eastAsia="zh-CN"/>
        </w:rPr>
        <w:t>工作的</w:t>
      </w:r>
      <w:r>
        <w:rPr>
          <w:rFonts w:hint="default" w:ascii="Times New Roman" w:hAnsi="Times New Roman" w:eastAsia="仿宋_GB2312" w:cs="Times New Roman"/>
          <w:color w:val="000000"/>
          <w:sz w:val="32"/>
          <w:szCs w:val="32"/>
          <w:highlight w:val="none"/>
        </w:rPr>
        <w:t>科学化、精准化、专业化水平。落实公民依法参加基本医疗保险的法定权利与义务，</w:t>
      </w:r>
      <w:r>
        <w:rPr>
          <w:rFonts w:hint="default" w:ascii="Times New Roman" w:hAnsi="Times New Roman" w:eastAsia="仿宋_GB2312" w:cs="Times New Roman"/>
          <w:color w:val="000000"/>
          <w:sz w:val="32"/>
          <w:szCs w:val="32"/>
          <w:highlight w:val="none"/>
          <w:lang w:eastAsia="zh-CN"/>
        </w:rPr>
        <w:t>引导</w:t>
      </w:r>
      <w:r>
        <w:rPr>
          <w:rFonts w:hint="default" w:ascii="Times New Roman" w:hAnsi="Times New Roman" w:eastAsia="仿宋_GB2312" w:cs="Times New Roman"/>
          <w:color w:val="000000"/>
          <w:sz w:val="32"/>
          <w:szCs w:val="32"/>
          <w:highlight w:val="none"/>
        </w:rPr>
        <w:t>群众</w:t>
      </w:r>
      <w:r>
        <w:rPr>
          <w:rFonts w:hint="default" w:ascii="Times New Roman" w:hAnsi="Times New Roman" w:eastAsia="仿宋_GB2312" w:cs="Times New Roman"/>
          <w:color w:val="000000"/>
          <w:sz w:val="32"/>
          <w:szCs w:val="32"/>
          <w:highlight w:val="none"/>
          <w:lang w:eastAsia="zh-CN"/>
        </w:rPr>
        <w:t>树立</w:t>
      </w:r>
      <w:r>
        <w:rPr>
          <w:rFonts w:hint="default" w:ascii="Times New Roman" w:hAnsi="Times New Roman" w:eastAsia="仿宋_GB2312" w:cs="Times New Roman"/>
          <w:color w:val="000000"/>
          <w:sz w:val="32"/>
          <w:szCs w:val="32"/>
          <w:highlight w:val="none"/>
        </w:rPr>
        <w:t>自身健康第一责任人理念，</w:t>
      </w:r>
      <w:r>
        <w:rPr>
          <w:rFonts w:hint="default" w:ascii="Times New Roman" w:hAnsi="Times New Roman" w:eastAsia="仿宋_GB2312" w:cs="Times New Roman"/>
          <w:color w:val="000000"/>
          <w:sz w:val="32"/>
          <w:szCs w:val="32"/>
          <w:highlight w:val="none"/>
          <w:lang w:eastAsia="zh-CN"/>
        </w:rPr>
        <w:t>增强</w:t>
      </w:r>
      <w:r>
        <w:rPr>
          <w:rFonts w:hint="default" w:ascii="Times New Roman" w:hAnsi="Times New Roman" w:eastAsia="仿宋_GB2312" w:cs="Times New Roman"/>
          <w:color w:val="000000"/>
          <w:sz w:val="32"/>
          <w:szCs w:val="32"/>
          <w:highlight w:val="none"/>
        </w:rPr>
        <w:t>主动参保意识。鼓励支持灵活就业人员、新就业形态人员参加职工基本医疗保险。加强职工医保参保登记、监管与缴费核查，稳步提升职工医保参保人群占比。探索对婴幼儿参加城乡居民医保提供</w:t>
      </w:r>
      <w:r>
        <w:rPr>
          <w:rFonts w:hint="default" w:ascii="Times New Roman" w:hAnsi="Times New Roman" w:eastAsia="仿宋_GB2312" w:cs="Times New Roman"/>
          <w:color w:val="000000"/>
          <w:sz w:val="32"/>
          <w:szCs w:val="32"/>
          <w:highlight w:val="none"/>
          <w:lang w:eastAsia="zh-CN"/>
        </w:rPr>
        <w:t>参保</w:t>
      </w:r>
      <w:r>
        <w:rPr>
          <w:rFonts w:hint="default" w:ascii="Times New Roman" w:hAnsi="Times New Roman" w:eastAsia="仿宋_GB2312" w:cs="Times New Roman"/>
          <w:color w:val="000000"/>
          <w:sz w:val="32"/>
          <w:szCs w:val="32"/>
          <w:highlight w:val="none"/>
        </w:rPr>
        <w:t>资助。持续健全参保关系转移接续配套机制</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压实各级政府属地责任，强化政府牵头、多部门各司其职、协同联动的参保工作体系。</w:t>
      </w:r>
    </w:p>
    <w:tbl>
      <w:tblPr>
        <w:tblStyle w:val="4"/>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Times New Roman" w:hAnsi="Times New Roman" w:eastAsia="仿宋"/>
                <w:color w:val="000000"/>
                <w:highlight w:val="none"/>
              </w:rPr>
            </w:pPr>
            <w:r>
              <w:rPr>
                <w:rFonts w:hint="default" w:ascii="Times New Roman" w:hAnsi="Times New Roman" w:eastAsia="黑体" w:cs="Times New Roman"/>
                <w:color w:val="000000"/>
                <w:kern w:val="0"/>
                <w:sz w:val="28"/>
                <w:szCs w:val="28"/>
                <w:highlight w:val="none"/>
                <w:lang w:bidi="ar"/>
              </w:rPr>
              <w:t>专栏</w:t>
            </w:r>
            <w:r>
              <w:rPr>
                <w:rFonts w:hint="default" w:ascii="Times New Roman" w:hAnsi="Times New Roman" w:eastAsia="黑体" w:cs="Times New Roman"/>
                <w:color w:val="000000"/>
                <w:kern w:val="0"/>
                <w:sz w:val="28"/>
                <w:szCs w:val="28"/>
                <w:highlight w:val="none"/>
                <w:lang w:val="en-US" w:eastAsia="zh-CN" w:bidi="ar"/>
              </w:rPr>
              <w:t>2</w:t>
            </w:r>
            <w:r>
              <w:rPr>
                <w:rFonts w:hint="default" w:ascii="Times New Roman" w:hAnsi="Times New Roman" w:eastAsia="黑体" w:cs="Times New Roman"/>
                <w:color w:val="000000"/>
                <w:kern w:val="0"/>
                <w:sz w:val="28"/>
                <w:szCs w:val="28"/>
                <w:highlight w:val="none"/>
                <w:lang w:bidi="ar"/>
              </w:rPr>
              <w:t xml:space="preserve">  全民参保巩固提质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400" w:lineRule="exact"/>
              <w:ind w:firstLine="560" w:firstLineChars="200"/>
              <w:outlineLvl w:val="2"/>
              <w:rPr>
                <w:rFonts w:hint="eastAsia" w:ascii="Times New Roman" w:hAnsi="Times New Roman" w:eastAsia="仿宋_GB2312"/>
                <w:color w:val="000000"/>
                <w:sz w:val="28"/>
                <w:szCs w:val="28"/>
                <w:highlight w:val="none"/>
              </w:rPr>
            </w:pPr>
            <w:r>
              <w:rPr>
                <w:rFonts w:hint="eastAsia" w:ascii="Times New Roman" w:hAnsi="Times New Roman" w:eastAsia="仿宋_GB2312"/>
                <w:color w:val="000000"/>
                <w:sz w:val="28"/>
                <w:szCs w:val="28"/>
                <w:highlight w:val="none"/>
              </w:rPr>
              <w:t>1.完善全民参保政策协同、资源整合、宣传发动工作推动机制。</w:t>
            </w:r>
          </w:p>
          <w:p>
            <w:pPr>
              <w:spacing w:line="400" w:lineRule="exact"/>
              <w:ind w:firstLine="560" w:firstLineChars="200"/>
              <w:outlineLvl w:val="2"/>
              <w:rPr>
                <w:rFonts w:hint="eastAsia" w:ascii="Times New Roman" w:hAnsi="Times New Roman" w:eastAsia="仿宋_GB2312"/>
                <w:color w:val="000000"/>
                <w:sz w:val="28"/>
                <w:szCs w:val="28"/>
                <w:highlight w:val="none"/>
              </w:rPr>
            </w:pPr>
            <w:r>
              <w:rPr>
                <w:rFonts w:hint="eastAsia" w:ascii="Times New Roman" w:hAnsi="Times New Roman" w:eastAsia="仿宋_GB2312"/>
                <w:color w:val="000000"/>
                <w:sz w:val="28"/>
                <w:szCs w:val="28"/>
                <w:highlight w:val="none"/>
              </w:rPr>
              <w:t>2.探索居民医保分档缴费制度。</w:t>
            </w:r>
          </w:p>
          <w:p>
            <w:pPr>
              <w:spacing w:line="400" w:lineRule="exact"/>
              <w:ind w:firstLine="560" w:firstLineChars="200"/>
              <w:outlineLvl w:val="2"/>
              <w:rPr>
                <w:rFonts w:ascii="Times New Roman" w:hAnsi="Times New Roman" w:eastAsia="仿宋_GB2312"/>
                <w:color w:val="000000"/>
                <w:sz w:val="24"/>
                <w:highlight w:val="none"/>
              </w:rPr>
            </w:pPr>
            <w:r>
              <w:rPr>
                <w:rFonts w:hint="eastAsia" w:ascii="Times New Roman" w:hAnsi="Times New Roman" w:eastAsia="仿宋_GB2312"/>
                <w:color w:val="000000"/>
                <w:sz w:val="28"/>
                <w:szCs w:val="28"/>
                <w:highlight w:val="none"/>
              </w:rPr>
              <w:t>3.稳步推进“医疗+医保+金融”信用参保就医模式。</w:t>
            </w:r>
          </w:p>
        </w:tc>
      </w:tr>
    </w:tbl>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b/>
          <w:bCs/>
          <w:color w:val="000000"/>
          <w:sz w:val="32"/>
          <w:szCs w:val="32"/>
          <w:highlight w:val="none"/>
        </w:rPr>
        <w:t>2.优化完善筹资机制。</w:t>
      </w:r>
      <w:r>
        <w:rPr>
          <w:rFonts w:hint="default" w:ascii="Times New Roman" w:hAnsi="Times New Roman" w:eastAsia="仿宋_GB2312" w:cs="Times New Roman"/>
          <w:color w:val="000000"/>
          <w:sz w:val="32"/>
          <w:szCs w:val="32"/>
          <w:highlight w:val="none"/>
        </w:rPr>
        <w:t>均衡个人、用人单位和政府三方筹资责任。全省统一</w:t>
      </w:r>
      <w:r>
        <w:rPr>
          <w:rFonts w:hint="default" w:ascii="Times New Roman" w:hAnsi="Times New Roman" w:eastAsia="仿宋_GB2312" w:cs="Times New Roman"/>
          <w:color w:val="000000"/>
          <w:sz w:val="32"/>
          <w:szCs w:val="32"/>
          <w:highlight w:val="none"/>
          <w:lang w:eastAsia="zh-CN"/>
        </w:rPr>
        <w:t>职工基本</w:t>
      </w:r>
      <w:r>
        <w:rPr>
          <w:rFonts w:hint="default" w:ascii="Times New Roman" w:hAnsi="Times New Roman" w:eastAsia="仿宋_GB2312" w:cs="Times New Roman"/>
          <w:color w:val="000000"/>
          <w:sz w:val="32"/>
          <w:szCs w:val="32"/>
          <w:highlight w:val="none"/>
        </w:rPr>
        <w:t>医</w:t>
      </w:r>
      <w:r>
        <w:rPr>
          <w:rFonts w:hint="default" w:ascii="Times New Roman" w:hAnsi="Times New Roman" w:eastAsia="仿宋_GB2312" w:cs="Times New Roman"/>
          <w:color w:val="000000"/>
          <w:sz w:val="32"/>
          <w:szCs w:val="32"/>
          <w:highlight w:val="none"/>
          <w:lang w:eastAsia="zh-CN"/>
        </w:rPr>
        <w:t>疗保险</w:t>
      </w:r>
      <w:r>
        <w:rPr>
          <w:rFonts w:hint="default" w:ascii="Times New Roman" w:hAnsi="Times New Roman" w:eastAsia="仿宋_GB2312" w:cs="Times New Roman"/>
          <w:color w:val="000000"/>
          <w:sz w:val="32"/>
          <w:szCs w:val="32"/>
          <w:highlight w:val="none"/>
        </w:rPr>
        <w:t>缴费基数口径、缴费基准值和缴费费率。</w:t>
      </w:r>
      <w:r>
        <w:rPr>
          <w:rFonts w:hint="default" w:ascii="Times New Roman" w:hAnsi="Times New Roman" w:eastAsia="仿宋_GB2312" w:cs="Times New Roman"/>
          <w:color w:val="000000"/>
          <w:sz w:val="32"/>
          <w:szCs w:val="32"/>
          <w:highlight w:val="none"/>
          <w:lang w:eastAsia="zh-CN"/>
        </w:rPr>
        <w:t>完善城乡居民基本医疗保险筹资机制，</w:t>
      </w:r>
      <w:r>
        <w:rPr>
          <w:rFonts w:hint="default" w:ascii="Times New Roman" w:hAnsi="Times New Roman" w:eastAsia="仿宋_GB2312" w:cs="Times New Roman"/>
          <w:color w:val="000000"/>
          <w:sz w:val="32"/>
          <w:szCs w:val="32"/>
          <w:highlight w:val="none"/>
        </w:rPr>
        <w:t>使筹资标准与经济发展</w:t>
      </w:r>
      <w:r>
        <w:rPr>
          <w:rFonts w:hint="default" w:ascii="Times New Roman" w:hAnsi="Times New Roman" w:eastAsia="仿宋_GB2312" w:cs="Times New Roman"/>
          <w:color w:val="000000"/>
          <w:sz w:val="32"/>
          <w:szCs w:val="32"/>
          <w:highlight w:val="none"/>
          <w:lang w:eastAsia="zh-CN"/>
        </w:rPr>
        <w:t>水平、</w:t>
      </w:r>
      <w:r>
        <w:rPr>
          <w:rFonts w:hint="default" w:ascii="Times New Roman" w:hAnsi="Times New Roman" w:eastAsia="仿宋_GB2312" w:cs="Times New Roman"/>
          <w:color w:val="000000"/>
          <w:sz w:val="32"/>
          <w:szCs w:val="32"/>
          <w:highlight w:val="none"/>
        </w:rPr>
        <w:t>居民收入水平相适应。鼓励有条件的工会</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集体经济组织等资助城乡居民参保缴费，探索</w:t>
      </w:r>
      <w:r>
        <w:rPr>
          <w:rFonts w:hint="default" w:ascii="Times New Roman" w:hAnsi="Times New Roman" w:eastAsia="仿宋_GB2312" w:cs="Times New Roman"/>
          <w:color w:val="000000"/>
          <w:sz w:val="32"/>
          <w:szCs w:val="32"/>
          <w:highlight w:val="none"/>
          <w:lang w:eastAsia="zh-CN"/>
        </w:rPr>
        <w:t>拓展</w:t>
      </w:r>
      <w:r>
        <w:rPr>
          <w:rFonts w:hint="default" w:ascii="Times New Roman" w:hAnsi="Times New Roman" w:eastAsia="仿宋_GB2312" w:cs="Times New Roman"/>
          <w:color w:val="000000"/>
          <w:sz w:val="32"/>
          <w:szCs w:val="32"/>
          <w:highlight w:val="none"/>
        </w:rPr>
        <w:t>多</w:t>
      </w:r>
      <w:r>
        <w:rPr>
          <w:rFonts w:hint="default" w:ascii="Times New Roman" w:hAnsi="Times New Roman" w:eastAsia="仿宋_GB2312" w:cs="Times New Roman"/>
          <w:color w:val="000000"/>
          <w:sz w:val="32"/>
          <w:szCs w:val="32"/>
          <w:highlight w:val="none"/>
          <w:lang w:eastAsia="zh-CN"/>
        </w:rPr>
        <w:t>元</w:t>
      </w:r>
      <w:r>
        <w:rPr>
          <w:rFonts w:hint="default" w:ascii="Times New Roman" w:hAnsi="Times New Roman" w:eastAsia="仿宋_GB2312" w:cs="Times New Roman"/>
          <w:color w:val="000000"/>
          <w:sz w:val="32"/>
          <w:szCs w:val="32"/>
          <w:highlight w:val="none"/>
        </w:rPr>
        <w:t>筹资渠道。</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r>
        <w:rPr>
          <w:rFonts w:hint="eastAsia" w:ascii="Times New Roman" w:hAnsi="Times New Roman" w:eastAsia="仿宋_GB2312"/>
          <w:b/>
          <w:bCs/>
          <w:color w:val="000000"/>
          <w:sz w:val="32"/>
          <w:szCs w:val="32"/>
          <w:highlight w:val="none"/>
        </w:rPr>
        <w:t>3.深入推进省级统筹。</w:t>
      </w:r>
      <w:r>
        <w:rPr>
          <w:rFonts w:hint="default" w:ascii="Times New Roman" w:hAnsi="Times New Roman" w:eastAsia="仿宋_GB2312" w:cs="Times New Roman"/>
          <w:color w:val="000000"/>
          <w:sz w:val="32"/>
          <w:szCs w:val="32"/>
          <w:highlight w:val="none"/>
        </w:rPr>
        <w:t>逐步统一全省参保缴费政策、待遇保障标准、基金管理流程和经办服务规程，完善医保信息系统平台</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监管评价办法，到2029年基本实现基本</w:t>
      </w:r>
      <w:r>
        <w:rPr>
          <w:rFonts w:hint="default" w:ascii="Times New Roman" w:hAnsi="Times New Roman" w:eastAsia="仿宋_GB2312" w:cs="Times New Roman"/>
          <w:color w:val="000000"/>
          <w:sz w:val="32"/>
          <w:szCs w:val="32"/>
          <w:highlight w:val="none"/>
          <w:lang w:eastAsia="zh-CN"/>
        </w:rPr>
        <w:t>医疗保险</w:t>
      </w:r>
      <w:r>
        <w:rPr>
          <w:rFonts w:hint="default" w:ascii="Times New Roman" w:hAnsi="Times New Roman" w:eastAsia="仿宋_GB2312" w:cs="Times New Roman"/>
          <w:color w:val="000000"/>
          <w:sz w:val="32"/>
          <w:szCs w:val="32"/>
          <w:highlight w:val="none"/>
        </w:rPr>
        <w:t>省级统筹。建立与保费征缴、人口结构、基金可支撑能力等因素挂钩的省级调剂金制度，增强基金抗风险能力</w:t>
      </w:r>
      <w:r>
        <w:rPr>
          <w:rFonts w:hint="default" w:ascii="Times New Roman" w:hAnsi="Times New Roman" w:eastAsia="仿宋_GB2312" w:cs="Times New Roman"/>
          <w:color w:val="000000"/>
          <w:sz w:val="32"/>
          <w:szCs w:val="32"/>
          <w:highlight w:val="none"/>
          <w:lang w:eastAsia="zh-CN"/>
        </w:rPr>
        <w:t>，提升</w:t>
      </w:r>
      <w:r>
        <w:rPr>
          <w:rFonts w:hint="default" w:ascii="Times New Roman" w:hAnsi="Times New Roman" w:eastAsia="仿宋_GB2312" w:cs="Times New Roman"/>
          <w:color w:val="000000"/>
          <w:sz w:val="32"/>
          <w:szCs w:val="32"/>
          <w:highlight w:val="none"/>
        </w:rPr>
        <w:t>制度公平性。</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r>
        <w:rPr>
          <w:rFonts w:hint="eastAsia" w:ascii="Times New Roman" w:hAnsi="Times New Roman" w:eastAsia="仿宋_GB2312"/>
          <w:b/>
          <w:bCs/>
          <w:color w:val="000000"/>
          <w:sz w:val="32"/>
          <w:szCs w:val="32"/>
          <w:highlight w:val="none"/>
        </w:rPr>
        <w:t>4.加强医保基金预决算和运行管理。</w:t>
      </w:r>
      <w:r>
        <w:rPr>
          <w:rFonts w:hint="default" w:ascii="Times New Roman" w:hAnsi="Times New Roman" w:eastAsia="仿宋_GB2312" w:cs="Times New Roman"/>
          <w:color w:val="000000"/>
          <w:sz w:val="32"/>
          <w:szCs w:val="32"/>
          <w:highlight w:val="none"/>
        </w:rPr>
        <w:t>坚持“以收定支、收支平衡、略有结余”原则，建立全省统一的基金预算管理制度。严格规范基金预算编制，强化预算执行</w:t>
      </w:r>
      <w:r>
        <w:rPr>
          <w:rFonts w:hint="default" w:ascii="Times New Roman" w:hAnsi="Times New Roman" w:eastAsia="仿宋_GB2312" w:cs="Times New Roman"/>
          <w:color w:val="000000"/>
          <w:sz w:val="32"/>
          <w:szCs w:val="32"/>
          <w:highlight w:val="none"/>
          <w:lang w:eastAsia="zh-CN"/>
        </w:rPr>
        <w:t>约束</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增强预算刚性，</w:t>
      </w:r>
      <w:r>
        <w:rPr>
          <w:rFonts w:hint="default" w:ascii="Times New Roman" w:hAnsi="Times New Roman" w:eastAsia="仿宋_GB2312" w:cs="Times New Roman"/>
          <w:color w:val="000000"/>
          <w:sz w:val="32"/>
          <w:szCs w:val="32"/>
          <w:highlight w:val="none"/>
        </w:rPr>
        <w:t>提升基金预决算管理水平。强化基金运行监测分析，建立完善全周期风险监测预警防控机制，科学设置基金风险预警线，实现风险分级监测预警。健全医保基金运行评价机制，强化评价结果运用。</w:t>
      </w:r>
    </w:p>
    <w:bookmarkEnd w:id="9"/>
    <w:p>
      <w:pPr>
        <w:pStyle w:val="3"/>
        <w:spacing w:before="0" w:beforeAutospacing="0" w:after="0" w:afterAutospacing="0" w:line="600" w:lineRule="exact"/>
        <w:ind w:firstLine="640" w:firstLineChars="200"/>
        <w:jc w:val="both"/>
        <w:rPr>
          <w:rFonts w:hint="default" w:ascii="Times New Roman" w:hAnsi="Times New Roman" w:eastAsia="楷体_GB2312" w:cs="Times New Roman"/>
          <w:b w:val="0"/>
          <w:bCs w:val="0"/>
          <w:color w:val="000000"/>
          <w:kern w:val="2"/>
          <w:sz w:val="32"/>
          <w:szCs w:val="32"/>
          <w:highlight w:val="none"/>
        </w:rPr>
      </w:pPr>
      <w:bookmarkStart w:id="13" w:name="_Toc14491"/>
      <w:r>
        <w:rPr>
          <w:rFonts w:hint="default" w:ascii="Times New Roman" w:hAnsi="Times New Roman" w:eastAsia="楷体_GB2312" w:cs="Times New Roman"/>
          <w:b w:val="0"/>
          <w:bCs w:val="0"/>
          <w:color w:val="000000"/>
          <w:kern w:val="2"/>
          <w:sz w:val="32"/>
          <w:szCs w:val="32"/>
          <w:highlight w:val="none"/>
        </w:rPr>
        <w:t>（四）</w:t>
      </w:r>
      <w:bookmarkEnd w:id="13"/>
      <w:r>
        <w:rPr>
          <w:rFonts w:hint="default" w:ascii="Times New Roman" w:hAnsi="Times New Roman" w:eastAsia="楷体_GB2312" w:cs="Times New Roman"/>
          <w:b w:val="0"/>
          <w:bCs w:val="0"/>
          <w:color w:val="000000"/>
          <w:kern w:val="2"/>
          <w:sz w:val="32"/>
          <w:szCs w:val="32"/>
          <w:highlight w:val="none"/>
        </w:rPr>
        <w:t>完善医保科学支付机制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14" w:name="_Toc1418"/>
      <w:r>
        <w:rPr>
          <w:rFonts w:hint="default" w:ascii="Times New Roman" w:hAnsi="Times New Roman" w:eastAsia="仿宋_GB2312" w:cs="Times New Roman"/>
          <w:b/>
          <w:bCs/>
          <w:color w:val="000000"/>
          <w:sz w:val="32"/>
          <w:szCs w:val="32"/>
          <w:highlight w:val="none"/>
        </w:rPr>
        <w:t>1.规范医保目录管理</w:t>
      </w:r>
      <w:bookmarkEnd w:id="14"/>
      <w:r>
        <w:rPr>
          <w:rFonts w:hint="default" w:ascii="Times New Roman" w:hAnsi="Times New Roman" w:eastAsia="仿宋_GB2312" w:cs="Times New Roman"/>
          <w:b/>
          <w:bCs/>
          <w:color w:val="000000"/>
          <w:sz w:val="32"/>
          <w:szCs w:val="32"/>
          <w:highlight w:val="none"/>
        </w:rPr>
        <w:t>。</w:t>
      </w:r>
      <w:r>
        <w:rPr>
          <w:rFonts w:hint="default" w:ascii="Times New Roman" w:hAnsi="Times New Roman" w:eastAsia="仿宋_GB2312" w:cs="Times New Roman"/>
          <w:color w:val="000000"/>
          <w:sz w:val="32"/>
          <w:szCs w:val="32"/>
          <w:highlight w:val="none"/>
        </w:rPr>
        <w:t>贯彻执行国家医保药品目录，</w:t>
      </w:r>
      <w:r>
        <w:rPr>
          <w:rFonts w:hint="default" w:ascii="Times New Roman" w:hAnsi="Times New Roman" w:eastAsia="仿宋_GB2312" w:cs="Times New Roman"/>
          <w:color w:val="000000"/>
          <w:sz w:val="32"/>
          <w:szCs w:val="32"/>
          <w:highlight w:val="none"/>
          <w:lang w:eastAsia="zh-CN"/>
        </w:rPr>
        <w:t>推进</w:t>
      </w:r>
      <w:r>
        <w:rPr>
          <w:rFonts w:hint="default" w:ascii="Times New Roman" w:hAnsi="Times New Roman" w:eastAsia="仿宋_GB2312" w:cs="Times New Roman"/>
          <w:color w:val="000000"/>
          <w:sz w:val="32"/>
          <w:szCs w:val="32"/>
          <w:highlight w:val="none"/>
        </w:rPr>
        <w:t>医保医疗服务项目和医用耗材目录全省统一规范。结合基金承受能力，动态调整医保药品、医用耗材、医疗服务项目</w:t>
      </w:r>
      <w:r>
        <w:rPr>
          <w:rFonts w:hint="default" w:ascii="Times New Roman" w:hAnsi="Times New Roman" w:eastAsia="仿宋_GB2312" w:cs="Times New Roman"/>
          <w:color w:val="000000"/>
          <w:sz w:val="32"/>
          <w:szCs w:val="32"/>
          <w:highlight w:val="none"/>
          <w:lang w:eastAsia="zh-CN"/>
        </w:rPr>
        <w:t>的</w:t>
      </w:r>
      <w:r>
        <w:rPr>
          <w:rFonts w:hint="default" w:ascii="Times New Roman" w:hAnsi="Times New Roman" w:eastAsia="仿宋_GB2312" w:cs="Times New Roman"/>
          <w:color w:val="000000"/>
          <w:sz w:val="32"/>
          <w:szCs w:val="32"/>
          <w:highlight w:val="none"/>
        </w:rPr>
        <w:t>支付管理。</w:t>
      </w:r>
      <w:r>
        <w:rPr>
          <w:rFonts w:hint="default" w:ascii="Times New Roman" w:hAnsi="Times New Roman" w:eastAsia="仿宋_GB2312" w:cs="Times New Roman"/>
          <w:color w:val="000000"/>
          <w:sz w:val="32"/>
          <w:szCs w:val="32"/>
          <w:highlight w:val="none"/>
          <w:lang w:eastAsia="zh-CN"/>
        </w:rPr>
        <w:t>按程序将符合条件的药品纳入“双通道”管理。</w:t>
      </w:r>
      <w:r>
        <w:rPr>
          <w:rFonts w:hint="default" w:ascii="Times New Roman" w:hAnsi="Times New Roman" w:eastAsia="仿宋_GB2312" w:cs="Times New Roman"/>
          <w:color w:val="000000"/>
          <w:sz w:val="32"/>
          <w:szCs w:val="32"/>
          <w:highlight w:val="none"/>
        </w:rPr>
        <w:t>完善医疗机构制剂目录准入、支付管理等政策，健全动态调整机制。</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bookmarkStart w:id="15" w:name="_Toc13916"/>
      <w:r>
        <w:rPr>
          <w:rFonts w:hint="default" w:ascii="Times New Roman" w:hAnsi="Times New Roman" w:eastAsia="仿宋_GB2312" w:cs="Times New Roman"/>
          <w:b/>
          <w:bCs/>
          <w:color w:val="000000"/>
          <w:sz w:val="32"/>
          <w:szCs w:val="32"/>
          <w:highlight w:val="none"/>
        </w:rPr>
        <w:t>2.深化医保支付方式改革</w:t>
      </w:r>
      <w:bookmarkEnd w:id="15"/>
      <w:r>
        <w:rPr>
          <w:rFonts w:hint="default" w:ascii="Times New Roman" w:hAnsi="Times New Roman" w:eastAsia="仿宋_GB2312" w:cs="Times New Roman"/>
          <w:b/>
          <w:bCs/>
          <w:color w:val="000000"/>
          <w:sz w:val="32"/>
          <w:szCs w:val="32"/>
          <w:highlight w:val="none"/>
        </w:rPr>
        <w:t>。</w:t>
      </w:r>
      <w:r>
        <w:rPr>
          <w:rFonts w:hint="default" w:ascii="Times New Roman" w:hAnsi="Times New Roman" w:eastAsia="仿宋_GB2312" w:cs="Times New Roman"/>
          <w:color w:val="000000"/>
          <w:sz w:val="32"/>
          <w:szCs w:val="32"/>
          <w:highlight w:val="none"/>
        </w:rPr>
        <w:t>持续推进以按病种付费为主的多元复合式医保支付方式改革，结合医疗技术发展、医保政策</w:t>
      </w:r>
      <w:r>
        <w:rPr>
          <w:rFonts w:hint="default" w:ascii="Times New Roman" w:hAnsi="Times New Roman" w:eastAsia="仿宋_GB2312" w:cs="Times New Roman"/>
          <w:color w:val="000000"/>
          <w:sz w:val="32"/>
          <w:szCs w:val="32"/>
          <w:highlight w:val="none"/>
          <w:lang w:eastAsia="zh-CN"/>
        </w:rPr>
        <w:t>调整</w:t>
      </w:r>
      <w:r>
        <w:rPr>
          <w:rFonts w:hint="default" w:ascii="Times New Roman" w:hAnsi="Times New Roman" w:eastAsia="仿宋_GB2312" w:cs="Times New Roman"/>
          <w:color w:val="000000"/>
          <w:sz w:val="32"/>
          <w:szCs w:val="32"/>
          <w:highlight w:val="none"/>
        </w:rPr>
        <w:t>和医疗费用结构</w:t>
      </w:r>
      <w:r>
        <w:rPr>
          <w:rFonts w:hint="default" w:ascii="Times New Roman" w:hAnsi="Times New Roman" w:eastAsia="仿宋_GB2312" w:cs="Times New Roman"/>
          <w:color w:val="000000"/>
          <w:sz w:val="32"/>
          <w:szCs w:val="32"/>
          <w:highlight w:val="none"/>
          <w:lang w:eastAsia="zh-CN"/>
        </w:rPr>
        <w:t>变动</w:t>
      </w:r>
      <w:r>
        <w:rPr>
          <w:rFonts w:hint="default" w:ascii="Times New Roman" w:hAnsi="Times New Roman" w:eastAsia="仿宋_GB2312" w:cs="Times New Roman"/>
          <w:color w:val="000000"/>
          <w:sz w:val="32"/>
          <w:szCs w:val="32"/>
          <w:highlight w:val="none"/>
        </w:rPr>
        <w:t>等因素</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动态调整按病种付费分组方案</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核心要素，健全医保基金预付、结算清算、结余留用等机制。完善中医优势病种医保支付方式，支持中医药传承创新发展。推行常见病</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多发病同城同病同医保支付标准。有序推进跨省异地就医住院医疗费用纳入按病种付费范围。开展基层医疗卫生机构门诊按人头付费，完善并推广医疗康复、慢性精神疾病、安宁疗护等长期住院按床日付费</w:t>
      </w:r>
      <w:r>
        <w:rPr>
          <w:rFonts w:hint="default" w:ascii="Times New Roman" w:hAnsi="Times New Roman" w:eastAsia="仿宋_GB2312" w:cs="Times New Roman"/>
          <w:color w:val="000000"/>
          <w:sz w:val="32"/>
          <w:szCs w:val="32"/>
          <w:highlight w:val="none"/>
          <w:lang w:eastAsia="zh-CN"/>
        </w:rPr>
        <w:t>模式</w:t>
      </w:r>
      <w:r>
        <w:rPr>
          <w:rFonts w:hint="default" w:ascii="Times New Roman" w:hAnsi="Times New Roman" w:eastAsia="仿宋_GB2312" w:cs="Times New Roman"/>
          <w:color w:val="000000"/>
          <w:sz w:val="32"/>
          <w:szCs w:val="32"/>
          <w:highlight w:val="none"/>
        </w:rPr>
        <w:t>。</w:t>
      </w:r>
      <w:bookmarkStart w:id="16" w:name="_Toc4883"/>
      <w:bookmarkStart w:id="17" w:name="_Toc28473"/>
    </w:p>
    <w:tbl>
      <w:tblPr>
        <w:tblStyle w:val="4"/>
        <w:tblW w:w="4908" w:type="pct"/>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pPr>
              <w:spacing w:line="592" w:lineRule="exact"/>
              <w:jc w:val="center"/>
              <w:outlineLvl w:val="2"/>
              <w:rPr>
                <w:rFonts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color w:val="000000"/>
                <w:kern w:val="0"/>
                <w:sz w:val="28"/>
                <w:szCs w:val="28"/>
                <w:highlight w:val="none"/>
                <w:lang w:bidi="ar"/>
              </w:rPr>
              <w:t>专栏</w:t>
            </w:r>
            <w:r>
              <w:rPr>
                <w:rFonts w:hint="default" w:ascii="Times New Roman" w:hAnsi="Times New Roman" w:eastAsia="黑体" w:cs="Times New Roman"/>
                <w:color w:val="000000"/>
                <w:kern w:val="0"/>
                <w:sz w:val="28"/>
                <w:szCs w:val="28"/>
                <w:highlight w:val="none"/>
                <w:lang w:eastAsia="zh-CN" w:bidi="ar"/>
              </w:rPr>
              <w:t>3</w:t>
            </w:r>
            <w:r>
              <w:rPr>
                <w:rFonts w:hint="default" w:ascii="Times New Roman" w:hAnsi="Times New Roman" w:eastAsia="黑体" w:cs="Times New Roman"/>
                <w:color w:val="000000"/>
                <w:kern w:val="0"/>
                <w:sz w:val="28"/>
                <w:szCs w:val="28"/>
                <w:highlight w:val="none"/>
                <w:lang w:bidi="ar"/>
              </w:rPr>
              <w:t xml:space="preserve">  门诊慢特病智慧管理提升行动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trPr>
        <w:tc>
          <w:tcPr>
            <w:tcW w:w="5000" w:type="pct"/>
            <w:tcBorders>
              <w:top w:val="single" w:color="auto" w:sz="4" w:space="0"/>
              <w:left w:val="single" w:color="auto" w:sz="4" w:space="0"/>
              <w:bottom w:val="single" w:color="auto" w:sz="4" w:space="0"/>
              <w:right w:val="single" w:color="auto" w:sz="4" w:space="0"/>
            </w:tcBorders>
            <w:noWrap w:val="0"/>
            <w:vAlign w:val="top"/>
          </w:tcPr>
          <w:p>
            <w:pPr>
              <w:spacing w:line="400" w:lineRule="exact"/>
              <w:ind w:firstLine="560" w:firstLineChars="200"/>
              <w:outlineLvl w:val="2"/>
              <w:rPr>
                <w:rFonts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1.建设门诊慢特病AI管理平台。整合“资格准入与退出、标准诊疗路径、智能监管、健康管理”四大子系统，打通医保、卫生健康、医疗机构数据壁垒，实现全流程闭环管理。</w:t>
            </w:r>
          </w:p>
          <w:p>
            <w:pPr>
              <w:spacing w:line="400" w:lineRule="exact"/>
              <w:ind w:firstLine="560" w:firstLineChars="200"/>
              <w:outlineLvl w:val="2"/>
              <w:rPr>
                <w:rFonts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color w:val="000000"/>
                <w:kern w:val="0"/>
                <w:sz w:val="28"/>
                <w:szCs w:val="28"/>
                <w:highlight w:val="none"/>
                <w:lang w:bidi="ar"/>
              </w:rPr>
              <w:t>2.建立“智能审核+专家审核”双重机制。以“审核规则+数据模型”为双轮驱动，开展医保大模型辅助审核，</w:t>
            </w:r>
            <w:r>
              <w:rPr>
                <w:rFonts w:hint="default" w:ascii="Times New Roman" w:hAnsi="Times New Roman" w:eastAsia="仿宋_GB2312" w:cs="Times New Roman"/>
                <w:color w:val="000000"/>
                <w:kern w:val="0"/>
                <w:sz w:val="28"/>
                <w:szCs w:val="28"/>
                <w:highlight w:val="none"/>
                <w:lang w:eastAsia="zh-CN" w:bidi="ar"/>
              </w:rPr>
              <w:t>探索</w:t>
            </w:r>
            <w:r>
              <w:rPr>
                <w:rFonts w:hint="default" w:ascii="Times New Roman" w:hAnsi="Times New Roman" w:eastAsia="仿宋_GB2312" w:cs="Times New Roman"/>
                <w:color w:val="000000"/>
                <w:kern w:val="0"/>
                <w:sz w:val="28"/>
                <w:szCs w:val="28"/>
                <w:highlight w:val="none"/>
                <w:lang w:bidi="ar"/>
              </w:rPr>
              <w:t>影像辅助审核、处方智能校验技术，提升违规行为识别精准度，对超适应症用药、重复开药、异常频次就诊等行为精准识别、分级预警、分类处置。</w:t>
            </w:r>
          </w:p>
        </w:tc>
      </w:tr>
    </w:tbl>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b/>
          <w:bCs/>
          <w:color w:val="000000"/>
          <w:sz w:val="32"/>
          <w:szCs w:val="32"/>
          <w:highlight w:val="none"/>
        </w:rPr>
        <w:t>3.加强医保定点资源规划管理。</w:t>
      </w:r>
      <w:r>
        <w:rPr>
          <w:rFonts w:hint="default" w:ascii="Times New Roman" w:hAnsi="Times New Roman" w:eastAsia="仿宋_GB2312" w:cs="Times New Roman"/>
          <w:color w:val="000000"/>
          <w:sz w:val="32"/>
          <w:szCs w:val="32"/>
          <w:highlight w:val="none"/>
        </w:rPr>
        <w:t>全面开展定点医药机构资源配置规划，优化医保定点医药机构区域布局，推动定点医药资源与参保人员医疗需求、医保基金保障能力</w:t>
      </w:r>
      <w:r>
        <w:rPr>
          <w:rFonts w:hint="default" w:ascii="Times New Roman" w:hAnsi="Times New Roman" w:eastAsia="仿宋_GB2312" w:cs="Times New Roman"/>
          <w:color w:val="000000"/>
          <w:sz w:val="32"/>
          <w:szCs w:val="32"/>
          <w:highlight w:val="none"/>
          <w:lang w:eastAsia="zh-CN"/>
        </w:rPr>
        <w:t>相适配，</w:t>
      </w:r>
      <w:r>
        <w:rPr>
          <w:rFonts w:hint="default" w:ascii="Times New Roman" w:hAnsi="Times New Roman" w:eastAsia="仿宋_GB2312" w:cs="Times New Roman"/>
          <w:color w:val="000000"/>
          <w:sz w:val="32"/>
          <w:szCs w:val="32"/>
          <w:highlight w:val="none"/>
        </w:rPr>
        <w:t>推进定点医药机构配置规划与区域卫生规划有效衔接。</w:t>
      </w:r>
    </w:p>
    <w:p>
      <w:pPr>
        <w:spacing w:line="600" w:lineRule="exact"/>
        <w:ind w:firstLine="640" w:firstLineChars="200"/>
        <w:outlineLvl w:val="1"/>
        <w:rPr>
          <w:rFonts w:hint="default" w:ascii="Times New Roman" w:hAnsi="Times New Roman" w:cs="Times New Roman"/>
          <w:color w:val="000000"/>
          <w:sz w:val="32"/>
          <w:szCs w:val="32"/>
          <w:highlight w:val="none"/>
        </w:rPr>
      </w:pPr>
      <w:r>
        <w:rPr>
          <w:rFonts w:hint="default" w:ascii="Times New Roman" w:hAnsi="Times New Roman" w:eastAsia="楷体_GB2312" w:cs="Times New Roman"/>
          <w:color w:val="000000"/>
          <w:sz w:val="32"/>
          <w:szCs w:val="32"/>
          <w:highlight w:val="none"/>
        </w:rPr>
        <w:t>（五）深化医药价格综合改革</w:t>
      </w:r>
      <w:bookmarkEnd w:id="16"/>
      <w:bookmarkEnd w:id="17"/>
    </w:p>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1.加强医疗服务价格项目管理。</w:t>
      </w:r>
      <w:r>
        <w:rPr>
          <w:rFonts w:hint="default" w:ascii="Times New Roman" w:hAnsi="Times New Roman" w:eastAsia="仿宋_GB2312" w:cs="Times New Roman"/>
          <w:color w:val="000000"/>
          <w:sz w:val="32"/>
          <w:szCs w:val="32"/>
          <w:highlight w:val="none"/>
        </w:rPr>
        <w:t>全面落实国家医疗服务价格项目立项指南，规范编制全省医疗服务价格项目目录。同步</w:t>
      </w:r>
      <w:r>
        <w:rPr>
          <w:rFonts w:hint="default" w:ascii="Times New Roman" w:hAnsi="Times New Roman" w:eastAsia="仿宋_GB2312" w:cs="Times New Roman"/>
          <w:color w:val="000000"/>
          <w:sz w:val="32"/>
          <w:szCs w:val="32"/>
          <w:highlight w:val="none"/>
          <w:lang w:eastAsia="zh-CN"/>
        </w:rPr>
        <w:t>开展</w:t>
      </w:r>
      <w:r>
        <w:rPr>
          <w:rFonts w:hint="default" w:ascii="Times New Roman" w:hAnsi="Times New Roman" w:eastAsia="仿宋_GB2312" w:cs="Times New Roman"/>
          <w:color w:val="000000"/>
          <w:sz w:val="32"/>
          <w:szCs w:val="32"/>
          <w:highlight w:val="none"/>
        </w:rPr>
        <w:t>医用耗材价格治理，引导医用耗材价格合理形成，将更多费用空间用于体现</w:t>
      </w:r>
      <w:r>
        <w:rPr>
          <w:rFonts w:hint="default" w:ascii="Times New Roman" w:hAnsi="Times New Roman" w:eastAsia="仿宋_GB2312" w:cs="Times New Roman"/>
          <w:color w:val="000000"/>
          <w:sz w:val="32"/>
          <w:szCs w:val="32"/>
          <w:highlight w:val="none"/>
          <w:lang w:eastAsia="zh-CN"/>
        </w:rPr>
        <w:t>医疗</w:t>
      </w:r>
      <w:r>
        <w:rPr>
          <w:rFonts w:hint="default" w:ascii="Times New Roman" w:hAnsi="Times New Roman" w:eastAsia="仿宋_GB2312" w:cs="Times New Roman"/>
          <w:color w:val="000000"/>
          <w:sz w:val="32"/>
          <w:szCs w:val="32"/>
          <w:highlight w:val="none"/>
        </w:rPr>
        <w:t>技术劳务价值。完善医疗服务价格项目新增管理制度，结合医疗服务医保综合价值评价，</w:t>
      </w:r>
      <w:r>
        <w:rPr>
          <w:rFonts w:hint="default" w:ascii="Times New Roman" w:hAnsi="Times New Roman" w:eastAsia="仿宋_GB2312" w:cs="Times New Roman"/>
          <w:color w:val="000000"/>
          <w:sz w:val="32"/>
          <w:szCs w:val="32"/>
          <w:highlight w:val="none"/>
          <w:lang w:val="en-US" w:eastAsia="zh-CN"/>
        </w:rPr>
        <w:t>完善</w:t>
      </w:r>
      <w:r>
        <w:rPr>
          <w:rFonts w:hint="default" w:ascii="Times New Roman" w:hAnsi="Times New Roman" w:eastAsia="仿宋_GB2312" w:cs="Times New Roman"/>
          <w:color w:val="000000"/>
          <w:sz w:val="32"/>
          <w:szCs w:val="32"/>
          <w:highlight w:val="none"/>
        </w:rPr>
        <w:t>医疗服务价格预立项机制，</w:t>
      </w:r>
      <w:r>
        <w:rPr>
          <w:rFonts w:hint="default" w:ascii="Times New Roman" w:hAnsi="Times New Roman" w:eastAsia="仿宋_GB2312" w:cs="Times New Roman"/>
          <w:color w:val="000000"/>
          <w:sz w:val="32"/>
          <w:szCs w:val="32"/>
          <w:highlight w:val="none"/>
          <w:lang w:eastAsia="zh-CN"/>
        </w:rPr>
        <w:t>推动</w:t>
      </w:r>
      <w:r>
        <w:rPr>
          <w:rFonts w:hint="default" w:ascii="Times New Roman" w:hAnsi="Times New Roman" w:eastAsia="仿宋_GB2312" w:cs="Times New Roman"/>
          <w:color w:val="000000"/>
          <w:sz w:val="32"/>
          <w:szCs w:val="32"/>
          <w:highlight w:val="none"/>
        </w:rPr>
        <w:t>高质量医疗科技创新成果临床转化。建好用好医疗服务价格</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一览表”</w:t>
      </w:r>
      <w:r>
        <w:rPr>
          <w:rFonts w:hint="default" w:ascii="Times New Roman" w:hAnsi="Times New Roman" w:eastAsia="仿宋_GB2312" w:cs="Times New Roman"/>
          <w:color w:val="000000"/>
          <w:sz w:val="32"/>
          <w:szCs w:val="32"/>
          <w:highlight w:val="none"/>
          <w:lang w:eastAsia="zh-CN"/>
        </w:rPr>
        <w:t>。</w:t>
      </w:r>
    </w:p>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2.完善医疗服务价格动态调整制度。</w:t>
      </w:r>
      <w:r>
        <w:rPr>
          <w:rFonts w:hint="default" w:ascii="Times New Roman" w:hAnsi="Times New Roman" w:eastAsia="仿宋_GB2312" w:cs="Times New Roman"/>
          <w:color w:val="000000"/>
          <w:sz w:val="32"/>
          <w:szCs w:val="32"/>
          <w:highlight w:val="none"/>
          <w:lang w:eastAsia="zh-CN"/>
        </w:rPr>
        <w:t>开展</w:t>
      </w:r>
      <w:r>
        <w:rPr>
          <w:rFonts w:hint="default" w:ascii="Times New Roman" w:hAnsi="Times New Roman" w:eastAsia="仿宋_GB2312" w:cs="Times New Roman"/>
          <w:color w:val="000000"/>
          <w:sz w:val="32"/>
          <w:szCs w:val="32"/>
          <w:highlight w:val="none"/>
        </w:rPr>
        <w:t>监测评估</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价格测算，规范有序组织</w:t>
      </w:r>
      <w:r>
        <w:rPr>
          <w:rFonts w:hint="default" w:ascii="Times New Roman" w:hAnsi="Times New Roman" w:eastAsia="仿宋_GB2312" w:cs="Times New Roman"/>
          <w:color w:val="000000"/>
          <w:sz w:val="32"/>
          <w:szCs w:val="32"/>
          <w:highlight w:val="none"/>
          <w:lang w:eastAsia="zh-CN"/>
        </w:rPr>
        <w:t>实施</w:t>
      </w:r>
      <w:r>
        <w:rPr>
          <w:rFonts w:hint="default" w:ascii="Times New Roman" w:hAnsi="Times New Roman" w:eastAsia="仿宋_GB2312" w:cs="Times New Roman"/>
          <w:color w:val="000000"/>
          <w:sz w:val="32"/>
          <w:szCs w:val="32"/>
          <w:highlight w:val="none"/>
        </w:rPr>
        <w:t>灵敏</w:t>
      </w:r>
      <w:r>
        <w:rPr>
          <w:rFonts w:hint="default" w:ascii="Times New Roman" w:hAnsi="Times New Roman" w:eastAsia="仿宋_GB2312" w:cs="Times New Roman"/>
          <w:color w:val="000000"/>
          <w:sz w:val="32"/>
          <w:szCs w:val="32"/>
          <w:highlight w:val="none"/>
          <w:lang w:eastAsia="zh-CN"/>
        </w:rPr>
        <w:t>适度</w:t>
      </w:r>
      <w:r>
        <w:rPr>
          <w:rFonts w:hint="default" w:ascii="Times New Roman" w:hAnsi="Times New Roman" w:eastAsia="仿宋_GB2312" w:cs="Times New Roman"/>
          <w:color w:val="000000"/>
          <w:sz w:val="32"/>
          <w:szCs w:val="32"/>
          <w:highlight w:val="none"/>
        </w:rPr>
        <w:t>的医疗服务价格动态调整，</w:t>
      </w:r>
      <w:r>
        <w:rPr>
          <w:rFonts w:hint="default" w:ascii="Times New Roman" w:hAnsi="Times New Roman" w:eastAsia="仿宋_GB2312" w:cs="Times New Roman"/>
          <w:color w:val="000000"/>
          <w:sz w:val="32"/>
          <w:szCs w:val="32"/>
          <w:highlight w:val="none"/>
          <w:lang w:eastAsia="zh-CN"/>
        </w:rPr>
        <w:t>构建</w:t>
      </w:r>
      <w:r>
        <w:rPr>
          <w:rFonts w:hint="default" w:ascii="Times New Roman" w:hAnsi="Times New Roman" w:eastAsia="仿宋_GB2312" w:cs="Times New Roman"/>
          <w:color w:val="000000"/>
          <w:sz w:val="32"/>
          <w:szCs w:val="32"/>
          <w:highlight w:val="none"/>
        </w:rPr>
        <w:t>适应经济社会发展、更好发挥政府作用、医疗机构充分参与、体现技术劳务价值的医疗服务价格动态调整格局。</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b/>
          <w:bCs/>
          <w:color w:val="000000"/>
          <w:sz w:val="32"/>
          <w:szCs w:val="32"/>
          <w:highlight w:val="none"/>
        </w:rPr>
        <w:t>3.建立科学规范的价格类别管理体系。</w:t>
      </w:r>
      <w:r>
        <w:rPr>
          <w:rFonts w:hint="default" w:ascii="Times New Roman" w:hAnsi="Times New Roman" w:eastAsia="仿宋_GB2312" w:cs="Times New Roman"/>
          <w:color w:val="000000"/>
          <w:sz w:val="32"/>
          <w:szCs w:val="32"/>
          <w:highlight w:val="none"/>
        </w:rPr>
        <w:t>实施医疗服务价格项目分类管理，完善医疗机构价格类别</w:t>
      </w:r>
      <w:r>
        <w:rPr>
          <w:rFonts w:hint="default" w:ascii="Times New Roman" w:hAnsi="Times New Roman" w:eastAsia="仿宋_GB2312" w:cs="Times New Roman"/>
          <w:color w:val="000000"/>
          <w:sz w:val="32"/>
          <w:szCs w:val="32"/>
          <w:highlight w:val="none"/>
          <w:lang w:eastAsia="zh-CN"/>
        </w:rPr>
        <w:t>管理体系</w:t>
      </w:r>
      <w:r>
        <w:rPr>
          <w:rFonts w:hint="default" w:ascii="Times New Roman" w:hAnsi="Times New Roman" w:eastAsia="仿宋_GB2312" w:cs="Times New Roman"/>
          <w:color w:val="000000"/>
          <w:sz w:val="32"/>
          <w:szCs w:val="32"/>
          <w:highlight w:val="none"/>
        </w:rPr>
        <w:t>，引导医疗资源优化配置。完善特需医疗、国际医疗等医疗服务价格政策，</w:t>
      </w:r>
      <w:r>
        <w:rPr>
          <w:rFonts w:hint="default" w:ascii="Times New Roman" w:hAnsi="Times New Roman" w:eastAsia="仿宋_GB2312" w:cs="Times New Roman"/>
          <w:color w:val="000000"/>
          <w:sz w:val="32"/>
          <w:szCs w:val="32"/>
          <w:highlight w:val="none"/>
          <w:lang w:val="en-US" w:eastAsia="zh-CN"/>
        </w:rPr>
        <w:t>促进</w:t>
      </w:r>
      <w:r>
        <w:rPr>
          <w:rFonts w:hint="default" w:ascii="Times New Roman" w:hAnsi="Times New Roman" w:eastAsia="仿宋_GB2312" w:cs="Times New Roman"/>
          <w:color w:val="000000"/>
          <w:sz w:val="32"/>
          <w:szCs w:val="32"/>
          <w:highlight w:val="none"/>
        </w:rPr>
        <w:t>满足群众多元化、个性化</w:t>
      </w:r>
      <w:r>
        <w:rPr>
          <w:rFonts w:hint="default" w:ascii="Times New Roman" w:hAnsi="Times New Roman" w:eastAsia="仿宋_GB2312" w:cs="Times New Roman"/>
          <w:color w:val="000000"/>
          <w:sz w:val="32"/>
          <w:szCs w:val="32"/>
          <w:highlight w:val="none"/>
          <w:lang w:val="en-US" w:eastAsia="zh-CN"/>
        </w:rPr>
        <w:t>等</w:t>
      </w:r>
      <w:r>
        <w:rPr>
          <w:rFonts w:hint="default" w:ascii="Times New Roman" w:hAnsi="Times New Roman" w:eastAsia="仿宋_GB2312" w:cs="Times New Roman"/>
          <w:color w:val="000000"/>
          <w:sz w:val="32"/>
          <w:szCs w:val="32"/>
          <w:highlight w:val="none"/>
        </w:rPr>
        <w:t>不同层次医疗服务需求。</w:t>
      </w:r>
    </w:p>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4.巩固药品和医用耗材集中带量采购成果。</w:t>
      </w:r>
      <w:r>
        <w:rPr>
          <w:rFonts w:hint="default" w:ascii="Times New Roman" w:hAnsi="Times New Roman" w:eastAsia="仿宋_GB2312" w:cs="Times New Roman"/>
          <w:color w:val="000000"/>
          <w:sz w:val="32"/>
          <w:szCs w:val="32"/>
          <w:highlight w:val="none"/>
        </w:rPr>
        <w:t>规范化、制度化、常态化推进药品和医用耗材集中带量采购</w:t>
      </w:r>
      <w:r>
        <w:rPr>
          <w:rFonts w:hint="default" w:ascii="Times New Roman" w:hAnsi="Times New Roman" w:eastAsia="仿宋_GB2312" w:cs="Times New Roman"/>
          <w:color w:val="000000"/>
          <w:sz w:val="32"/>
          <w:szCs w:val="32"/>
          <w:highlight w:val="none"/>
          <w:lang w:eastAsia="zh-CN"/>
        </w:rPr>
        <w:t>工作</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eastAsia="zh-CN"/>
        </w:rPr>
        <w:t>持续</w:t>
      </w:r>
      <w:r>
        <w:rPr>
          <w:rFonts w:hint="default" w:ascii="Times New Roman" w:hAnsi="Times New Roman" w:eastAsia="仿宋_GB2312" w:cs="Times New Roman"/>
          <w:color w:val="000000"/>
          <w:sz w:val="32"/>
          <w:szCs w:val="32"/>
          <w:highlight w:val="none"/>
        </w:rPr>
        <w:t>推</w:t>
      </w:r>
      <w:r>
        <w:rPr>
          <w:rFonts w:hint="default" w:ascii="Times New Roman" w:hAnsi="Times New Roman" w:eastAsia="仿宋_GB2312" w:cs="Times New Roman"/>
          <w:color w:val="000000"/>
          <w:sz w:val="32"/>
          <w:szCs w:val="32"/>
          <w:highlight w:val="none"/>
          <w:lang w:eastAsia="zh-CN"/>
        </w:rPr>
        <w:t>动</w:t>
      </w:r>
      <w:r>
        <w:rPr>
          <w:rFonts w:hint="default" w:ascii="Times New Roman" w:hAnsi="Times New Roman" w:eastAsia="仿宋_GB2312" w:cs="Times New Roman"/>
          <w:color w:val="000000"/>
          <w:sz w:val="32"/>
          <w:szCs w:val="32"/>
          <w:highlight w:val="none"/>
        </w:rPr>
        <w:t>医药集采提质扩面。组织</w:t>
      </w:r>
      <w:r>
        <w:rPr>
          <w:rFonts w:hint="default" w:ascii="Times New Roman" w:hAnsi="Times New Roman" w:eastAsia="仿宋_GB2312" w:cs="Times New Roman"/>
          <w:color w:val="000000"/>
          <w:sz w:val="32"/>
          <w:szCs w:val="32"/>
          <w:highlight w:val="none"/>
          <w:lang w:eastAsia="zh-CN"/>
        </w:rPr>
        <w:t>开展</w:t>
      </w:r>
      <w:r>
        <w:rPr>
          <w:rFonts w:hint="default" w:ascii="Times New Roman" w:hAnsi="Times New Roman" w:eastAsia="仿宋_GB2312" w:cs="Times New Roman"/>
          <w:color w:val="000000"/>
          <w:sz w:val="32"/>
          <w:szCs w:val="32"/>
          <w:highlight w:val="none"/>
        </w:rPr>
        <w:t>多批次医用耗材全国省际联盟采购</w:t>
      </w:r>
      <w:r>
        <w:rPr>
          <w:rFonts w:hint="default" w:ascii="Times New Roman" w:hAnsi="Times New Roman" w:eastAsia="仿宋_GB2312" w:cs="Times New Roman"/>
          <w:color w:val="000000"/>
          <w:sz w:val="32"/>
          <w:szCs w:val="32"/>
          <w:highlight w:val="none"/>
          <w:lang w:eastAsia="zh-CN"/>
        </w:rPr>
        <w:t>，统筹实施</w:t>
      </w:r>
      <w:r>
        <w:rPr>
          <w:rFonts w:hint="default" w:ascii="Times New Roman" w:hAnsi="Times New Roman" w:eastAsia="仿宋_GB2312" w:cs="Times New Roman"/>
          <w:color w:val="000000"/>
          <w:sz w:val="32"/>
          <w:szCs w:val="32"/>
          <w:highlight w:val="none"/>
        </w:rPr>
        <w:t>全省药品和医用耗材集采。探索建立快捷高效的集采协议期满接续采购新机制，做好各类集采产品价格区域协同，实现已集采品种价格及时联动。强化药品耗材集中带量采购执行，协同行业主管部门加强医疗机构报量和履约情况监督</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推动集采政策与医保支付政策有效衔接，纵深推进集采药品</w:t>
      </w:r>
      <w:r>
        <w:rPr>
          <w:rFonts w:hint="default" w:ascii="Times New Roman" w:hAnsi="Times New Roman" w:eastAsia="仿宋_GB2312" w:cs="Times New Roman"/>
          <w:color w:val="000000"/>
          <w:sz w:val="32"/>
          <w:szCs w:val="32"/>
          <w:highlight w:val="none"/>
          <w:lang w:eastAsia="zh-CN"/>
        </w:rPr>
        <w:t>进</w:t>
      </w:r>
      <w:r>
        <w:rPr>
          <w:rFonts w:hint="default" w:ascii="Times New Roman" w:hAnsi="Times New Roman" w:eastAsia="仿宋_GB2312" w:cs="Times New Roman"/>
          <w:color w:val="000000"/>
          <w:sz w:val="32"/>
          <w:szCs w:val="32"/>
          <w:highlight w:val="none"/>
        </w:rPr>
        <w:t>基层医疗机构、民营医疗机构</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零售药店。</w:t>
      </w:r>
    </w:p>
    <w:p>
      <w:pPr>
        <w:spacing w:line="600" w:lineRule="exact"/>
        <w:ind w:firstLine="643"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5.加强药品耗材挂网管理。</w:t>
      </w:r>
      <w:r>
        <w:rPr>
          <w:rFonts w:hint="default" w:ascii="Times New Roman" w:hAnsi="Times New Roman" w:eastAsia="仿宋_GB2312" w:cs="Times New Roman"/>
          <w:color w:val="000000"/>
          <w:sz w:val="32"/>
          <w:szCs w:val="32"/>
          <w:highlight w:val="none"/>
        </w:rPr>
        <w:t>持续完善并严格落实药品和医用耗材挂网规则，提升药品耗材联审通办工作效率，加强药品、耗材价格监测预警</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处置，助力融入全国统一大市场。强化医药价格和招采信用评价制度落实，引导企业规范诚信</w:t>
      </w:r>
      <w:r>
        <w:rPr>
          <w:rFonts w:hint="default" w:ascii="Times New Roman" w:hAnsi="Times New Roman" w:eastAsia="仿宋_GB2312" w:cs="Times New Roman"/>
          <w:color w:val="000000"/>
          <w:sz w:val="32"/>
          <w:szCs w:val="32"/>
          <w:highlight w:val="none"/>
          <w:lang w:eastAsia="zh-CN"/>
        </w:rPr>
        <w:t>经营</w:t>
      </w:r>
      <w:r>
        <w:rPr>
          <w:rFonts w:hint="default" w:ascii="Times New Roman" w:hAnsi="Times New Roman" w:eastAsia="仿宋_GB2312" w:cs="Times New Roman"/>
          <w:color w:val="000000"/>
          <w:sz w:val="32"/>
          <w:szCs w:val="32"/>
          <w:highlight w:val="none"/>
        </w:rPr>
        <w:t>。加强阳光挂网集中采购行为监管，推动公立医疗机构落实药品和高值医用耗材平台网采责任，持续提高网采率。加强医药集中采购平台信息化建设，提升平台运行标准化、规范化和数智化水平。</w:t>
      </w:r>
    </w:p>
    <w:p>
      <w:pPr>
        <w:spacing w:line="600" w:lineRule="exact"/>
        <w:ind w:firstLine="643"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b/>
          <w:bCs/>
          <w:color w:val="000000"/>
          <w:sz w:val="32"/>
          <w:szCs w:val="32"/>
          <w:highlight w:val="none"/>
        </w:rPr>
        <w:t>6.强化医药价格</w:t>
      </w:r>
      <w:r>
        <w:rPr>
          <w:rFonts w:hint="default" w:ascii="Times New Roman" w:hAnsi="Times New Roman" w:eastAsia="仿宋_GB2312" w:cs="Times New Roman"/>
          <w:b/>
          <w:bCs/>
          <w:color w:val="000000"/>
          <w:sz w:val="32"/>
          <w:szCs w:val="32"/>
          <w:highlight w:val="none"/>
          <w:lang w:val="en-US" w:eastAsia="zh-CN"/>
        </w:rPr>
        <w:t>监测与</w:t>
      </w:r>
      <w:r>
        <w:rPr>
          <w:rFonts w:hint="default" w:ascii="Times New Roman" w:hAnsi="Times New Roman" w:eastAsia="仿宋_GB2312" w:cs="Times New Roman"/>
          <w:b/>
          <w:bCs/>
          <w:color w:val="000000"/>
          <w:sz w:val="32"/>
          <w:szCs w:val="32"/>
          <w:highlight w:val="none"/>
        </w:rPr>
        <w:t>治理。</w:t>
      </w:r>
      <w:r>
        <w:rPr>
          <w:rFonts w:hint="default" w:ascii="Times New Roman" w:hAnsi="Times New Roman" w:eastAsia="仿宋_GB2312" w:cs="Times New Roman"/>
          <w:color w:val="000000"/>
          <w:sz w:val="32"/>
          <w:szCs w:val="32"/>
          <w:highlight w:val="none"/>
        </w:rPr>
        <w:t>加强医药集采平台挂网药品和耗材价格的动态监测</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常态化治理，</w:t>
      </w:r>
      <w:r>
        <w:rPr>
          <w:rFonts w:hint="eastAsia" w:ascii="Times New Roman" w:hAnsi="Times New Roman" w:eastAsia="仿宋_GB2312" w:cs="Times New Roman"/>
          <w:color w:val="000000"/>
          <w:sz w:val="32"/>
          <w:szCs w:val="32"/>
          <w:highlight w:val="none"/>
          <w:lang w:val="en-US" w:eastAsia="zh-CN"/>
        </w:rPr>
        <w:t>探索挂网医用耗材企业出厂价报告制度，</w:t>
      </w:r>
      <w:r>
        <w:rPr>
          <w:rFonts w:hint="default" w:ascii="Times New Roman" w:hAnsi="Times New Roman" w:eastAsia="仿宋_GB2312" w:cs="Times New Roman"/>
          <w:color w:val="000000"/>
          <w:sz w:val="32"/>
          <w:szCs w:val="32"/>
          <w:highlight w:val="none"/>
        </w:rPr>
        <w:t>提升价格治理水平</w:t>
      </w:r>
      <w:r>
        <w:rPr>
          <w:rFonts w:hint="default" w:ascii="Times New Roman" w:hAnsi="Times New Roman" w:eastAsia="仿宋_GB2312" w:cs="Times New Roman"/>
          <w:color w:val="000000"/>
          <w:sz w:val="32"/>
          <w:szCs w:val="32"/>
          <w:highlight w:val="none"/>
          <w:lang w:eastAsia="zh-CN"/>
        </w:rPr>
        <w:t>与</w:t>
      </w:r>
      <w:r>
        <w:rPr>
          <w:rFonts w:hint="default" w:ascii="Times New Roman" w:hAnsi="Times New Roman" w:eastAsia="仿宋_GB2312" w:cs="Times New Roman"/>
          <w:color w:val="000000"/>
          <w:sz w:val="32"/>
          <w:szCs w:val="32"/>
          <w:highlight w:val="none"/>
        </w:rPr>
        <w:t>效益。综合运用信息披露、企业函询约谈、成本专项调查、信用评价管理等手段，对价格异常或显失公平的药品和耗材价格</w:t>
      </w:r>
      <w:r>
        <w:rPr>
          <w:rFonts w:hint="default" w:ascii="Times New Roman" w:hAnsi="Times New Roman" w:eastAsia="仿宋_GB2312" w:cs="Times New Roman"/>
          <w:color w:val="000000"/>
          <w:sz w:val="32"/>
          <w:szCs w:val="32"/>
          <w:highlight w:val="none"/>
          <w:lang w:eastAsia="zh-CN"/>
        </w:rPr>
        <w:t>实施</w:t>
      </w:r>
      <w:r>
        <w:rPr>
          <w:rFonts w:hint="default" w:ascii="Times New Roman" w:hAnsi="Times New Roman" w:eastAsia="仿宋_GB2312" w:cs="Times New Roman"/>
          <w:color w:val="000000"/>
          <w:sz w:val="32"/>
          <w:szCs w:val="32"/>
          <w:highlight w:val="none"/>
        </w:rPr>
        <w:t>精准调控。建立健全以市场为主导、多方协同的医药价格形成与治理体系，</w:t>
      </w:r>
      <w:r>
        <w:rPr>
          <w:rFonts w:hint="default" w:ascii="Times New Roman" w:hAnsi="Times New Roman" w:eastAsia="仿宋_GB2312" w:cs="Times New Roman"/>
          <w:color w:val="000000"/>
          <w:sz w:val="32"/>
          <w:szCs w:val="32"/>
          <w:highlight w:val="none"/>
          <w:lang w:eastAsia="zh-CN"/>
        </w:rPr>
        <w:t>构建</w:t>
      </w:r>
      <w:r>
        <w:rPr>
          <w:rFonts w:hint="default" w:ascii="Times New Roman" w:hAnsi="Times New Roman" w:eastAsia="仿宋_GB2312" w:cs="Times New Roman"/>
          <w:color w:val="000000"/>
          <w:sz w:val="32"/>
          <w:szCs w:val="32"/>
          <w:highlight w:val="none"/>
        </w:rPr>
        <w:t>公开透明、竞争有序的价格秩序。建立常态化多渠道比价机制，推广完善药品比价小程序，实现药品价格线上一键查询、比价、购药位置导航、异常价格提醒等功能，方便群众比价购药</w:t>
      </w:r>
      <w:r>
        <w:rPr>
          <w:rFonts w:hint="default" w:ascii="Times New Roman" w:hAnsi="Times New Roman" w:eastAsia="仿宋_GB2312" w:cs="Times New Roman"/>
          <w:color w:val="000000"/>
          <w:sz w:val="32"/>
          <w:szCs w:val="32"/>
          <w:highlight w:val="none"/>
          <w:lang w:eastAsia="zh-CN"/>
        </w:rPr>
        <w:t>。</w:t>
      </w:r>
    </w:p>
    <w:p>
      <w:pPr>
        <w:spacing w:line="600" w:lineRule="exact"/>
        <w:ind w:firstLine="640" w:firstLineChars="200"/>
        <w:rPr>
          <w:rFonts w:hint="default" w:ascii="Times New Roman" w:hAnsi="Times New Roman" w:eastAsia="楷体" w:cs="Times New Roman"/>
          <w:color w:val="000000"/>
          <w:sz w:val="32"/>
          <w:szCs w:val="32"/>
          <w:highlight w:val="none"/>
        </w:rPr>
      </w:pPr>
      <w:bookmarkStart w:id="18" w:name="_Toc8910"/>
      <w:r>
        <w:rPr>
          <w:rFonts w:hint="default" w:ascii="Times New Roman" w:hAnsi="Times New Roman" w:eastAsia="楷体" w:cs="Times New Roman"/>
          <w:color w:val="000000"/>
          <w:sz w:val="32"/>
          <w:szCs w:val="32"/>
          <w:highlight w:val="none"/>
        </w:rPr>
        <w:t>（六）</w:t>
      </w:r>
      <w:bookmarkEnd w:id="18"/>
      <w:r>
        <w:rPr>
          <w:rFonts w:hint="default" w:ascii="Times New Roman" w:hAnsi="Times New Roman" w:eastAsia="楷体" w:cs="Times New Roman"/>
          <w:color w:val="000000"/>
          <w:sz w:val="32"/>
          <w:szCs w:val="32"/>
          <w:highlight w:val="none"/>
        </w:rPr>
        <w:t>发挥医保协同赋能价值</w:t>
      </w:r>
    </w:p>
    <w:p>
      <w:pPr>
        <w:spacing w:line="600" w:lineRule="exact"/>
        <w:ind w:firstLine="643" w:firstLineChars="200"/>
        <w:rPr>
          <w:rFonts w:hint="default" w:ascii="Times New Roman" w:hAnsi="Times New Roman" w:eastAsia="仿宋_GB2312" w:cs="Times New Roman"/>
          <w:color w:val="000000"/>
          <w:sz w:val="32"/>
          <w:szCs w:val="32"/>
          <w:highlight w:val="none"/>
        </w:rPr>
      </w:pPr>
      <w:bookmarkStart w:id="19" w:name="_Toc19367"/>
      <w:r>
        <w:rPr>
          <w:rFonts w:hint="default" w:ascii="Times New Roman" w:hAnsi="Times New Roman" w:eastAsia="仿宋_GB2312" w:cs="Times New Roman"/>
          <w:b/>
          <w:bCs/>
          <w:color w:val="000000"/>
          <w:sz w:val="32"/>
          <w:szCs w:val="32"/>
          <w:highlight w:val="none"/>
        </w:rPr>
        <w:t>1.促进医疗、医保、医药协同发展和治理。</w:t>
      </w:r>
      <w:r>
        <w:rPr>
          <w:rFonts w:hint="default" w:ascii="Times New Roman" w:hAnsi="Times New Roman" w:eastAsia="仿宋_GB2312" w:cs="Times New Roman"/>
          <w:color w:val="000000"/>
          <w:sz w:val="32"/>
          <w:szCs w:val="32"/>
          <w:highlight w:val="none"/>
        </w:rPr>
        <w:t>健全医保、卫生健康、药品监管跨部门会商、数据共享、联合治理机制。</w:t>
      </w:r>
      <w:r>
        <w:rPr>
          <w:rFonts w:hint="default" w:ascii="Times New Roman" w:hAnsi="Times New Roman" w:eastAsia="仿宋_GB2312" w:cs="Times New Roman"/>
          <w:color w:val="000000"/>
          <w:sz w:val="32"/>
          <w:szCs w:val="32"/>
          <w:highlight w:val="none"/>
          <w:lang w:eastAsia="zh-CN"/>
        </w:rPr>
        <w:t>完善</w:t>
      </w:r>
      <w:r>
        <w:rPr>
          <w:rFonts w:hint="default" w:ascii="Times New Roman" w:hAnsi="Times New Roman" w:eastAsia="仿宋_GB2312" w:cs="Times New Roman"/>
          <w:color w:val="000000"/>
          <w:sz w:val="32"/>
          <w:szCs w:val="32"/>
          <w:highlight w:val="none"/>
        </w:rPr>
        <w:t>紧密型县域医共体</w:t>
      </w:r>
      <w:r>
        <w:rPr>
          <w:rFonts w:hint="default" w:ascii="Times New Roman" w:hAnsi="Times New Roman" w:eastAsia="仿宋_GB2312" w:cs="Times New Roman"/>
          <w:color w:val="000000"/>
          <w:sz w:val="32"/>
          <w:szCs w:val="32"/>
          <w:highlight w:val="none"/>
          <w:lang w:eastAsia="zh-CN"/>
        </w:rPr>
        <w:t>医保总额付费</w:t>
      </w:r>
      <w:r>
        <w:rPr>
          <w:rFonts w:hint="default" w:ascii="Times New Roman" w:hAnsi="Times New Roman" w:eastAsia="仿宋_GB2312" w:cs="Times New Roman"/>
          <w:color w:val="000000"/>
          <w:sz w:val="32"/>
          <w:szCs w:val="32"/>
          <w:highlight w:val="none"/>
        </w:rPr>
        <w:t>，落实医保支持基层医疗卫生服务发展相关政策。协同推进我省医疗卫生“强基工程”，加快构建分级诊疗格局。持续深化“一升一降”综合治理，推动全省医保住院实际报销比例和住院率逐步达到全国</w:t>
      </w:r>
      <w:r>
        <w:rPr>
          <w:rFonts w:hint="default" w:ascii="Times New Roman" w:hAnsi="Times New Roman" w:eastAsia="仿宋_GB2312" w:cs="Times New Roman"/>
          <w:color w:val="000000"/>
          <w:sz w:val="32"/>
          <w:szCs w:val="32"/>
          <w:highlight w:val="none"/>
          <w:lang w:eastAsia="zh-CN"/>
        </w:rPr>
        <w:t>平均水平</w:t>
      </w:r>
      <w:r>
        <w:rPr>
          <w:rFonts w:hint="default" w:ascii="Times New Roman" w:hAnsi="Times New Roman" w:eastAsia="仿宋_GB2312" w:cs="Times New Roman"/>
          <w:color w:val="000000"/>
          <w:sz w:val="32"/>
          <w:szCs w:val="32"/>
          <w:highlight w:val="none"/>
        </w:rPr>
        <w:t>。</w:t>
      </w:r>
    </w:p>
    <w:tbl>
      <w:tblPr>
        <w:tblStyle w:val="4"/>
        <w:tblpPr w:leftFromText="180" w:rightFromText="180" w:vertAnchor="text" w:horzAnchor="page" w:tblpX="1766" w:tblpY="389"/>
        <w:tblOverlap w:val="never"/>
        <w:tblW w:w="48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outlineLvl w:val="2"/>
              <w:rPr>
                <w:rFonts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color w:val="000000"/>
                <w:kern w:val="0"/>
                <w:sz w:val="28"/>
                <w:szCs w:val="28"/>
                <w:highlight w:val="none"/>
                <w:lang w:bidi="ar"/>
              </w:rPr>
              <w:t>专栏</w:t>
            </w:r>
            <w:r>
              <w:rPr>
                <w:rFonts w:hint="default" w:ascii="Times New Roman" w:hAnsi="Times New Roman" w:eastAsia="黑体" w:cs="Times New Roman"/>
                <w:color w:val="000000"/>
                <w:kern w:val="0"/>
                <w:sz w:val="28"/>
                <w:szCs w:val="28"/>
                <w:highlight w:val="none"/>
                <w:lang w:eastAsia="zh-CN" w:bidi="ar"/>
              </w:rPr>
              <w:t>4</w:t>
            </w:r>
            <w:r>
              <w:rPr>
                <w:rFonts w:hint="default" w:ascii="Times New Roman" w:hAnsi="Times New Roman" w:eastAsia="黑体" w:cs="Times New Roman"/>
                <w:color w:val="000000"/>
                <w:kern w:val="0"/>
                <w:sz w:val="28"/>
                <w:szCs w:val="28"/>
                <w:highlight w:val="none"/>
                <w:lang w:bidi="ar"/>
              </w:rPr>
              <w:t xml:space="preserve">  医保支持基层医疗卫生服务发展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9"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560" w:firstLineChars="200"/>
              <w:outlineLvl w:val="2"/>
              <w:rPr>
                <w:rFonts w:hint="default"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1.实现符合条件的基层医疗卫生机构医保定点全覆盖，优化医保基金区域总额管理，完善紧密型县域医共体总额付费。</w:t>
            </w:r>
          </w:p>
          <w:p>
            <w:pPr>
              <w:spacing w:line="320" w:lineRule="exact"/>
              <w:ind w:firstLine="560" w:firstLineChars="200"/>
              <w:outlineLvl w:val="2"/>
              <w:rPr>
                <w:rFonts w:hint="default"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2.强化基层住院政策倾斜，深化基层门诊统筹综合改革，整合资金赋能家庭医生签约服务。</w:t>
            </w:r>
          </w:p>
          <w:p>
            <w:pPr>
              <w:spacing w:line="320" w:lineRule="exact"/>
              <w:ind w:firstLine="560" w:firstLineChars="200"/>
              <w:outlineLvl w:val="2"/>
              <w:rPr>
                <w:rFonts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3.优化基层医疗服务项目和价格管理，扩大基层用药目录，加强基层用药供应保障。</w:t>
            </w:r>
          </w:p>
          <w:p>
            <w:pPr>
              <w:spacing w:line="320" w:lineRule="exact"/>
              <w:ind w:firstLine="560" w:firstLineChars="200"/>
              <w:outlineLvl w:val="2"/>
              <w:rPr>
                <w:rFonts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4.提升基层住院按病种付费精准性，统一基层病种范围，合理确定基层病种支付标准，实现统筹区内不同等级机构同病同支付。</w:t>
            </w:r>
          </w:p>
          <w:p>
            <w:pPr>
              <w:spacing w:line="320" w:lineRule="exact"/>
              <w:ind w:firstLine="560" w:firstLineChars="200"/>
              <w:outlineLvl w:val="2"/>
              <w:rPr>
                <w:rFonts w:hint="default"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5.提高基层医保基金结算效率，数智赋能基层医保服务。</w:t>
            </w:r>
          </w:p>
          <w:p>
            <w:pPr>
              <w:pStyle w:val="2"/>
              <w:spacing w:line="320" w:lineRule="exact"/>
              <w:rPr>
                <w:rFonts w:hint="default" w:ascii="Times New Roman" w:hAnsi="Times New Roman" w:eastAsia="仿宋_GB2312" w:cs="Times New Roman"/>
                <w:color w:val="000000"/>
                <w:highlight w:val="none"/>
                <w:lang w:val="en-US" w:eastAsia="zh-CN"/>
              </w:rPr>
            </w:pPr>
            <w:r>
              <w:rPr>
                <w:rFonts w:hint="default" w:ascii="Times New Roman" w:hAnsi="Times New Roman" w:eastAsia="仿宋_GB2312" w:cs="Times New Roman"/>
                <w:color w:val="000000"/>
                <w:kern w:val="0"/>
                <w:sz w:val="28"/>
                <w:szCs w:val="28"/>
                <w:highlight w:val="none"/>
                <w:lang w:val="en-US" w:eastAsia="zh-CN" w:bidi="ar"/>
              </w:rPr>
              <w:t xml:space="preserve">    6.</w:t>
            </w:r>
            <w:r>
              <w:rPr>
                <w:rFonts w:hint="default" w:ascii="Times New Roman" w:hAnsi="Times New Roman" w:eastAsia="仿宋_GB2312" w:cs="Times New Roman"/>
                <w:color w:val="000000"/>
                <w:sz w:val="28"/>
                <w:szCs w:val="28"/>
                <w:highlight w:val="none"/>
                <w:lang w:bidi="ar"/>
              </w:rPr>
              <w:t>鼓励有条件的基层医疗卫生机构依规申请纳入长期护理保险定点管理，因地制宜开展长期护理服务</w:t>
            </w:r>
            <w:r>
              <w:rPr>
                <w:rFonts w:hint="default" w:ascii="Times New Roman" w:hAnsi="Times New Roman" w:eastAsia="仿宋_GB2312" w:cs="Times New Roman"/>
                <w:color w:val="000000"/>
                <w:sz w:val="28"/>
                <w:szCs w:val="28"/>
                <w:highlight w:val="none"/>
                <w:lang w:eastAsia="zh-CN" w:bidi="ar"/>
              </w:rPr>
              <w:t>。</w:t>
            </w:r>
          </w:p>
        </w:tc>
      </w:tr>
    </w:tbl>
    <w:p>
      <w:pPr>
        <w:spacing w:line="600" w:lineRule="exact"/>
        <w:ind w:firstLine="643" w:firstLineChars="200"/>
        <w:rPr>
          <w:rFonts w:hint="default" w:ascii="Times New Roman" w:hAnsi="Times New Roman" w:eastAsia="仿宋_GB2312" w:cs="Times New Roman"/>
          <w:color w:val="000000"/>
          <w:kern w:val="0"/>
          <w:sz w:val="32"/>
          <w:szCs w:val="32"/>
          <w:highlight w:val="none"/>
          <w:lang w:eastAsia="zh-CN" w:bidi="ar"/>
        </w:rPr>
      </w:pPr>
      <w:r>
        <w:rPr>
          <w:rFonts w:hint="default" w:ascii="Times New Roman" w:hAnsi="Times New Roman" w:eastAsia="仿宋_GB2312" w:cs="Times New Roman"/>
          <w:b/>
          <w:bCs/>
          <w:color w:val="000000"/>
          <w:kern w:val="0"/>
          <w:sz w:val="32"/>
          <w:szCs w:val="32"/>
          <w:highlight w:val="none"/>
          <w:lang w:bidi="ar"/>
        </w:rPr>
        <w:t>2.赋能医药创新高质量发展</w:t>
      </w:r>
      <w:bookmarkEnd w:id="19"/>
      <w:r>
        <w:rPr>
          <w:rFonts w:hint="default" w:ascii="Times New Roman" w:hAnsi="Times New Roman" w:eastAsia="仿宋_GB2312" w:cs="Times New Roman"/>
          <w:b/>
          <w:bCs/>
          <w:color w:val="000000"/>
          <w:kern w:val="0"/>
          <w:sz w:val="32"/>
          <w:szCs w:val="32"/>
          <w:highlight w:val="none"/>
          <w:lang w:bidi="ar"/>
        </w:rPr>
        <w:t>。</w:t>
      </w:r>
      <w:bookmarkStart w:id="20" w:name="_Toc30369"/>
      <w:r>
        <w:rPr>
          <w:rFonts w:hint="default" w:ascii="Times New Roman" w:hAnsi="Times New Roman" w:eastAsia="仿宋_GB2312" w:cs="Times New Roman"/>
          <w:color w:val="000000"/>
          <w:kern w:val="0"/>
          <w:sz w:val="32"/>
          <w:szCs w:val="32"/>
          <w:highlight w:val="none"/>
          <w:lang w:bidi="ar"/>
        </w:rPr>
        <w:t>联动商业健康保险、慈善救助搭建创新药械多层次支付体系，</w:t>
      </w:r>
      <w:r>
        <w:rPr>
          <w:rFonts w:hint="default" w:ascii="Times New Roman" w:hAnsi="Times New Roman" w:eastAsia="仿宋_GB2312" w:cs="Times New Roman"/>
          <w:color w:val="000000"/>
          <w:kern w:val="0"/>
          <w:sz w:val="32"/>
          <w:szCs w:val="32"/>
          <w:highlight w:val="none"/>
          <w:lang w:val="en-US" w:eastAsia="zh-CN" w:bidi="ar"/>
        </w:rPr>
        <w:t>推动落实</w:t>
      </w:r>
      <w:r>
        <w:rPr>
          <w:rFonts w:hint="default" w:ascii="Times New Roman" w:hAnsi="Times New Roman" w:eastAsia="仿宋_GB2312" w:cs="Times New Roman"/>
          <w:color w:val="000000"/>
          <w:kern w:val="0"/>
          <w:sz w:val="32"/>
          <w:szCs w:val="32"/>
          <w:highlight w:val="none"/>
          <w:lang w:bidi="ar"/>
        </w:rPr>
        <w:t>商业健康保险创新药品目录，支持中药院内制剂</w:t>
      </w:r>
      <w:r>
        <w:rPr>
          <w:rFonts w:hint="default" w:ascii="Times New Roman" w:hAnsi="Times New Roman" w:eastAsia="仿宋_GB2312" w:cs="Times New Roman"/>
          <w:color w:val="000000"/>
          <w:kern w:val="0"/>
          <w:sz w:val="32"/>
          <w:szCs w:val="32"/>
          <w:highlight w:val="none"/>
          <w:lang w:val="en-US" w:eastAsia="zh-CN" w:bidi="ar"/>
        </w:rPr>
        <w:t>按规定纳入医保</w:t>
      </w:r>
      <w:r>
        <w:rPr>
          <w:rFonts w:hint="default" w:ascii="Times New Roman" w:hAnsi="Times New Roman" w:eastAsia="仿宋_GB2312" w:cs="Times New Roman"/>
          <w:color w:val="000000"/>
          <w:kern w:val="0"/>
          <w:sz w:val="32"/>
          <w:szCs w:val="32"/>
          <w:highlight w:val="none"/>
          <w:lang w:bidi="ar"/>
        </w:rPr>
        <w:t>。支持省内具身智能和健康传感器等新兴产业发展，</w:t>
      </w:r>
      <w:r>
        <w:rPr>
          <w:rFonts w:hint="default" w:ascii="Times New Roman" w:hAnsi="Times New Roman" w:eastAsia="仿宋_GB2312" w:cs="Times New Roman"/>
          <w:color w:val="000000"/>
          <w:kern w:val="0"/>
          <w:sz w:val="32"/>
          <w:szCs w:val="32"/>
          <w:highlight w:val="none"/>
          <w:lang w:eastAsia="zh-CN" w:bidi="ar"/>
        </w:rPr>
        <w:t>推动</w:t>
      </w:r>
      <w:r>
        <w:rPr>
          <w:rFonts w:hint="default" w:ascii="Times New Roman" w:hAnsi="Times New Roman" w:eastAsia="仿宋_GB2312" w:cs="Times New Roman"/>
          <w:color w:val="000000"/>
          <w:kern w:val="0"/>
          <w:sz w:val="32"/>
          <w:szCs w:val="32"/>
          <w:highlight w:val="none"/>
          <w:lang w:bidi="ar"/>
        </w:rPr>
        <w:t>脑机接口、人工智能辅助诊疗、手术机器人等前沿医疗服务在我省尽快落地。探索将长期护理智能化服务及辅助器具纳入保障范围，促进智能外骨骼等智能化设备在长期照护领域应用，促进护理服务、辅助器具、医养结合等</w:t>
      </w:r>
      <w:r>
        <w:rPr>
          <w:rFonts w:hint="default" w:ascii="Times New Roman" w:hAnsi="Times New Roman" w:eastAsia="仿宋_GB2312" w:cs="Times New Roman"/>
          <w:color w:val="000000"/>
          <w:spacing w:val="-11"/>
          <w:kern w:val="0"/>
          <w:sz w:val="32"/>
          <w:szCs w:val="32"/>
          <w:highlight w:val="none"/>
          <w:lang w:bidi="ar"/>
        </w:rPr>
        <w:t>关联产业发展。探索为医药创新研发提供必要的医保数据</w:t>
      </w:r>
      <w:r>
        <w:rPr>
          <w:rFonts w:hint="default" w:ascii="Times New Roman" w:hAnsi="Times New Roman" w:eastAsia="仿宋_GB2312" w:cs="Times New Roman"/>
          <w:color w:val="000000"/>
          <w:spacing w:val="-11"/>
          <w:kern w:val="0"/>
          <w:sz w:val="32"/>
          <w:szCs w:val="32"/>
          <w:highlight w:val="none"/>
          <w:lang w:eastAsia="zh-CN" w:bidi="ar"/>
        </w:rPr>
        <w:t>支撑</w:t>
      </w:r>
      <w:r>
        <w:rPr>
          <w:rFonts w:hint="default" w:ascii="Times New Roman" w:hAnsi="Times New Roman" w:eastAsia="仿宋_GB2312" w:cs="Times New Roman"/>
          <w:color w:val="000000"/>
          <w:spacing w:val="-11"/>
          <w:kern w:val="0"/>
          <w:sz w:val="32"/>
          <w:szCs w:val="32"/>
          <w:highlight w:val="none"/>
          <w:lang w:bidi="ar"/>
        </w:rPr>
        <w:t>服务</w:t>
      </w:r>
      <w:r>
        <w:rPr>
          <w:rFonts w:hint="default" w:ascii="Times New Roman" w:hAnsi="Times New Roman" w:eastAsia="仿宋_GB2312" w:cs="Times New Roman"/>
          <w:color w:val="000000"/>
          <w:kern w:val="0"/>
          <w:sz w:val="32"/>
          <w:szCs w:val="32"/>
          <w:highlight w:val="none"/>
          <w:lang w:bidi="ar"/>
        </w:rPr>
        <w:t>。</w:t>
      </w:r>
    </w:p>
    <w:bookmarkEnd w:id="20"/>
    <w:p>
      <w:pPr>
        <w:spacing w:line="600" w:lineRule="exact"/>
        <w:ind w:firstLine="640" w:firstLineChars="200"/>
        <w:rPr>
          <w:rFonts w:hint="default" w:ascii="Times New Roman" w:hAnsi="Times New Roman" w:eastAsia="楷体_GB2312" w:cs="Times New Roman"/>
          <w:color w:val="000000"/>
          <w:sz w:val="32"/>
          <w:szCs w:val="32"/>
          <w:highlight w:val="none"/>
        </w:rPr>
      </w:pPr>
      <w:bookmarkStart w:id="21" w:name="_Toc31271"/>
      <w:r>
        <w:rPr>
          <w:rFonts w:hint="default" w:ascii="Times New Roman" w:hAnsi="Times New Roman" w:eastAsia="楷体_GB2312" w:cs="Times New Roman"/>
          <w:color w:val="000000"/>
          <w:sz w:val="32"/>
          <w:szCs w:val="32"/>
          <w:highlight w:val="none"/>
        </w:rPr>
        <w:t>（七）健全基金安全监管体系</w:t>
      </w:r>
      <w:bookmarkEnd w:id="21"/>
    </w:p>
    <w:p>
      <w:pPr>
        <w:spacing w:line="600" w:lineRule="exact"/>
        <w:ind w:firstLine="643" w:firstLineChars="200"/>
        <w:rPr>
          <w:rFonts w:hint="default" w:ascii="Times New Roman" w:hAnsi="Times New Roman" w:eastAsia="仿宋_GB2312" w:cs="Times New Roman"/>
          <w:color w:val="000000"/>
          <w:kern w:val="0"/>
          <w:sz w:val="32"/>
          <w:szCs w:val="32"/>
          <w:highlight w:val="none"/>
          <w:lang w:bidi="ar"/>
        </w:rPr>
      </w:pPr>
      <w:bookmarkStart w:id="22" w:name="_Toc3804"/>
      <w:r>
        <w:rPr>
          <w:rFonts w:hint="default" w:ascii="Times New Roman" w:hAnsi="Times New Roman" w:eastAsia="仿宋_GB2312" w:cs="Times New Roman"/>
          <w:b/>
          <w:bCs/>
          <w:color w:val="000000"/>
          <w:kern w:val="0"/>
          <w:sz w:val="32"/>
          <w:szCs w:val="32"/>
          <w:highlight w:val="none"/>
          <w:lang w:bidi="ar"/>
        </w:rPr>
        <w:t>1.持续强化基金监管</w:t>
      </w:r>
      <w:bookmarkEnd w:id="22"/>
      <w:r>
        <w:rPr>
          <w:rFonts w:hint="default" w:ascii="Times New Roman" w:hAnsi="Times New Roman" w:eastAsia="仿宋_GB2312" w:cs="Times New Roman"/>
          <w:b/>
          <w:bCs/>
          <w:color w:val="000000"/>
          <w:kern w:val="0"/>
          <w:sz w:val="32"/>
          <w:szCs w:val="32"/>
          <w:highlight w:val="none"/>
          <w:lang w:bidi="ar"/>
        </w:rPr>
        <w:t>。</w:t>
      </w:r>
      <w:r>
        <w:rPr>
          <w:rFonts w:hint="default" w:ascii="Times New Roman" w:hAnsi="Times New Roman" w:eastAsia="仿宋_GB2312" w:cs="Times New Roman"/>
          <w:color w:val="000000"/>
          <w:kern w:val="0"/>
          <w:sz w:val="32"/>
          <w:szCs w:val="32"/>
          <w:highlight w:val="none"/>
          <w:lang w:bidi="ar"/>
        </w:rPr>
        <w:t>推动国家飞行检查、省级飞行检查、地市级交叉检查、经办日常核查覆盖所有统筹区，覆盖定点医药机构、参保人和医保经办机构等各类主体，覆盖基本医疗保险、医疗救助、长期护理保险等各类医疗保障基金。深化飞行</w:t>
      </w:r>
      <w:r>
        <w:rPr>
          <w:rFonts w:hint="default" w:ascii="Times New Roman" w:hAnsi="Times New Roman" w:eastAsia="仿宋_GB2312" w:cs="Times New Roman"/>
          <w:color w:val="000000"/>
          <w:kern w:val="0"/>
          <w:sz w:val="32"/>
          <w:szCs w:val="32"/>
          <w:highlight w:val="none"/>
          <w:lang w:eastAsia="zh-CN" w:bidi="ar"/>
        </w:rPr>
        <w:t>检查与</w:t>
      </w:r>
      <w:r>
        <w:rPr>
          <w:rFonts w:hint="default" w:ascii="Times New Roman" w:hAnsi="Times New Roman" w:eastAsia="仿宋_GB2312" w:cs="Times New Roman"/>
          <w:color w:val="000000"/>
          <w:kern w:val="0"/>
          <w:sz w:val="32"/>
          <w:szCs w:val="32"/>
          <w:highlight w:val="none"/>
          <w:lang w:bidi="ar"/>
        </w:rPr>
        <w:t>专项整治工作成果运用，形成日常监管重点问题清单。常态化开展定点医药机构违法违规使用医保基金自查自纠</w:t>
      </w:r>
      <w:r>
        <w:rPr>
          <w:rFonts w:hint="default" w:ascii="Times New Roman" w:hAnsi="Times New Roman" w:eastAsia="仿宋_GB2312" w:cs="Times New Roman"/>
          <w:color w:val="000000"/>
          <w:kern w:val="0"/>
          <w:sz w:val="32"/>
          <w:szCs w:val="32"/>
          <w:highlight w:val="none"/>
          <w:lang w:eastAsia="zh-CN" w:bidi="ar"/>
        </w:rPr>
        <w:t>工作</w:t>
      </w:r>
      <w:r>
        <w:rPr>
          <w:rFonts w:hint="default" w:ascii="Times New Roman" w:hAnsi="Times New Roman" w:eastAsia="仿宋_GB2312" w:cs="Times New Roman"/>
          <w:color w:val="000000"/>
          <w:kern w:val="0"/>
          <w:sz w:val="32"/>
          <w:szCs w:val="32"/>
          <w:highlight w:val="none"/>
          <w:lang w:bidi="ar"/>
        </w:rPr>
        <w:t>。</w:t>
      </w:r>
      <w:r>
        <w:rPr>
          <w:rFonts w:hint="default" w:ascii="Times New Roman" w:hAnsi="Times New Roman" w:eastAsia="仿宋_GB2312" w:cs="Times New Roman"/>
          <w:color w:val="000000"/>
          <w:kern w:val="0"/>
          <w:sz w:val="32"/>
          <w:szCs w:val="32"/>
          <w:highlight w:val="none"/>
          <w:lang w:eastAsia="zh-CN" w:bidi="ar"/>
        </w:rPr>
        <w:t>完善</w:t>
      </w:r>
      <w:r>
        <w:rPr>
          <w:rFonts w:hint="default" w:ascii="Times New Roman" w:hAnsi="Times New Roman" w:eastAsia="仿宋_GB2312" w:cs="Times New Roman"/>
          <w:color w:val="000000"/>
          <w:kern w:val="0"/>
          <w:sz w:val="32"/>
          <w:szCs w:val="32"/>
          <w:highlight w:val="none"/>
          <w:lang w:bidi="ar"/>
        </w:rPr>
        <w:t>“行行衔接”“行刑衔接”“行纪衔接”机制，建立健全“行刑衔接”标准化机制、提前介入机制等协同有力的衔接联动机制。</w:t>
      </w:r>
    </w:p>
    <w:p>
      <w:pPr>
        <w:spacing w:line="600" w:lineRule="exact"/>
        <w:ind w:firstLine="643" w:firstLineChars="200"/>
        <w:rPr>
          <w:rFonts w:hint="default" w:ascii="Times New Roman" w:hAnsi="Times New Roman" w:eastAsia="仿宋_GB2312" w:cs="Times New Roman"/>
          <w:color w:val="000000"/>
          <w:kern w:val="0"/>
          <w:sz w:val="32"/>
          <w:szCs w:val="32"/>
          <w:highlight w:val="none"/>
          <w:lang w:eastAsia="zh-CN" w:bidi="ar"/>
        </w:rPr>
      </w:pPr>
      <w:bookmarkStart w:id="23" w:name="_Toc11527"/>
      <w:r>
        <w:rPr>
          <w:rFonts w:hint="eastAsia" w:ascii="Times New Roman" w:hAnsi="Times New Roman" w:eastAsia="仿宋_GB2312"/>
          <w:b/>
          <w:bCs/>
          <w:color w:val="000000"/>
          <w:sz w:val="32"/>
          <w:szCs w:val="32"/>
          <w:highlight w:val="none"/>
        </w:rPr>
        <w:t>2.强化智能精准监管技术赋能</w:t>
      </w:r>
      <w:bookmarkEnd w:id="23"/>
      <w:r>
        <w:rPr>
          <w:rFonts w:hint="eastAsia" w:ascii="Times New Roman" w:hAnsi="Times New Roman" w:eastAsia="仿宋_GB2312"/>
          <w:b/>
          <w:bCs/>
          <w:color w:val="000000"/>
          <w:sz w:val="32"/>
          <w:szCs w:val="32"/>
          <w:highlight w:val="none"/>
        </w:rPr>
        <w:t>。</w:t>
      </w:r>
      <w:r>
        <w:rPr>
          <w:rFonts w:hint="default" w:ascii="Times New Roman" w:hAnsi="Times New Roman" w:eastAsia="仿宋_GB2312" w:cs="Times New Roman"/>
          <w:color w:val="000000"/>
          <w:kern w:val="0"/>
          <w:sz w:val="32"/>
          <w:szCs w:val="32"/>
          <w:highlight w:val="none"/>
          <w:lang w:bidi="ar"/>
        </w:rPr>
        <w:t>构建多部门智能协同</w:t>
      </w:r>
      <w:r>
        <w:rPr>
          <w:rFonts w:hint="default" w:ascii="Times New Roman" w:hAnsi="Times New Roman" w:eastAsia="仿宋_GB2312" w:cs="Times New Roman"/>
          <w:color w:val="000000"/>
          <w:kern w:val="0"/>
          <w:sz w:val="32"/>
          <w:szCs w:val="32"/>
          <w:highlight w:val="none"/>
          <w:lang w:eastAsia="zh-CN" w:bidi="ar"/>
        </w:rPr>
        <w:t>监管</w:t>
      </w:r>
      <w:r>
        <w:rPr>
          <w:rFonts w:hint="default" w:ascii="Times New Roman" w:hAnsi="Times New Roman" w:eastAsia="仿宋_GB2312" w:cs="Times New Roman"/>
          <w:color w:val="000000"/>
          <w:kern w:val="0"/>
          <w:sz w:val="32"/>
          <w:szCs w:val="32"/>
          <w:highlight w:val="none"/>
          <w:lang w:bidi="ar"/>
        </w:rPr>
        <w:t>体系。依托</w:t>
      </w:r>
      <w:r>
        <w:rPr>
          <w:rFonts w:hint="default" w:ascii="Times New Roman" w:hAnsi="Times New Roman" w:eastAsia="仿宋_GB2312" w:cs="Times New Roman"/>
          <w:color w:val="000000"/>
          <w:kern w:val="0"/>
          <w:sz w:val="32"/>
          <w:szCs w:val="32"/>
          <w:highlight w:val="none"/>
          <w:lang w:val="en-US" w:eastAsia="zh-CN" w:bidi="ar"/>
        </w:rPr>
        <w:t>医保信息</w:t>
      </w:r>
      <w:r>
        <w:rPr>
          <w:rFonts w:hint="default" w:ascii="Times New Roman" w:hAnsi="Times New Roman" w:eastAsia="仿宋_GB2312" w:cs="Times New Roman"/>
          <w:color w:val="000000"/>
          <w:kern w:val="0"/>
          <w:sz w:val="32"/>
          <w:szCs w:val="32"/>
          <w:highlight w:val="none"/>
          <w:lang w:bidi="ar"/>
        </w:rPr>
        <w:t>平台，构建全面、灵敏、高效的智能监管体系，实现对医疗服务行为、医保基金使用、药品耗材流通的全链条、穿透式动态监测与智能预警，重点探索建立涉医保犯罪案件数据快速协查机制，持续提升对欺诈骗保、不合理诊疗等问题的发现、处置与防范能力。健全全流程智能监管体系</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构建事前提醒、事中审核、事后监管全流程智能监管体系</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发挥事前提醒在就医登记、处方开具、费用结算等环节</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自动预警</w:t>
      </w:r>
      <w:r>
        <w:rPr>
          <w:rFonts w:hint="default" w:ascii="Times New Roman" w:hAnsi="Times New Roman" w:eastAsia="仿宋_GB2312" w:cs="Times New Roman"/>
          <w:color w:val="000000"/>
          <w:kern w:val="0"/>
          <w:sz w:val="32"/>
          <w:szCs w:val="32"/>
          <w:highlight w:val="none"/>
          <w:lang w:eastAsia="zh-CN" w:bidi="ar"/>
        </w:rPr>
        <w:t>作用；</w:t>
      </w:r>
      <w:r>
        <w:rPr>
          <w:rFonts w:hint="default" w:ascii="Times New Roman" w:hAnsi="Times New Roman" w:eastAsia="仿宋_GB2312" w:cs="Times New Roman"/>
          <w:color w:val="000000"/>
          <w:kern w:val="0"/>
          <w:sz w:val="32"/>
          <w:szCs w:val="32"/>
          <w:highlight w:val="none"/>
          <w:lang w:bidi="ar"/>
        </w:rPr>
        <w:t>强化事中审核，实现医保结算数据自动审核和疑点精准推送，</w:t>
      </w:r>
      <w:r>
        <w:rPr>
          <w:rFonts w:hint="default" w:ascii="Times New Roman" w:hAnsi="Times New Roman" w:eastAsia="仿宋_GB2312" w:cs="Times New Roman"/>
          <w:color w:val="000000"/>
          <w:kern w:val="0"/>
          <w:sz w:val="32"/>
          <w:szCs w:val="32"/>
          <w:highlight w:val="none"/>
          <w:lang w:eastAsia="zh-CN" w:bidi="ar"/>
        </w:rPr>
        <w:t>提升事中费用审核精准度；</w:t>
      </w:r>
      <w:r>
        <w:rPr>
          <w:rFonts w:hint="default" w:ascii="Times New Roman" w:hAnsi="Times New Roman" w:eastAsia="仿宋_GB2312" w:cs="Times New Roman"/>
          <w:color w:val="000000"/>
          <w:kern w:val="0"/>
          <w:sz w:val="32"/>
          <w:szCs w:val="32"/>
          <w:highlight w:val="none"/>
          <w:lang w:bidi="ar"/>
        </w:rPr>
        <w:t>探索建立“医保基金反欺诈联合实验室”，</w:t>
      </w:r>
      <w:r>
        <w:rPr>
          <w:rFonts w:hint="default" w:ascii="Times New Roman" w:hAnsi="Times New Roman" w:eastAsia="仿宋_GB2312" w:cs="Times New Roman"/>
          <w:color w:val="000000"/>
          <w:kern w:val="0"/>
          <w:sz w:val="32"/>
          <w:szCs w:val="32"/>
          <w:highlight w:val="none"/>
          <w:lang w:eastAsia="zh-CN" w:bidi="ar"/>
        </w:rPr>
        <w:t>应用</w:t>
      </w:r>
      <w:r>
        <w:rPr>
          <w:rFonts w:hint="default" w:ascii="Times New Roman" w:hAnsi="Times New Roman" w:eastAsia="仿宋_GB2312" w:cs="Times New Roman"/>
          <w:color w:val="000000"/>
          <w:kern w:val="0"/>
          <w:sz w:val="32"/>
          <w:szCs w:val="32"/>
          <w:highlight w:val="none"/>
          <w:lang w:bidi="ar"/>
        </w:rPr>
        <w:t>影像云监管、AI视频识别等技术，</w:t>
      </w:r>
      <w:r>
        <w:rPr>
          <w:rFonts w:hint="default" w:ascii="Times New Roman" w:hAnsi="Times New Roman" w:eastAsia="仿宋_GB2312" w:cs="Times New Roman"/>
          <w:color w:val="000000"/>
          <w:kern w:val="0"/>
          <w:sz w:val="32"/>
          <w:szCs w:val="32"/>
          <w:highlight w:val="none"/>
          <w:lang w:eastAsia="zh-CN" w:bidi="ar"/>
        </w:rPr>
        <w:t>强化</w:t>
      </w:r>
      <w:r>
        <w:rPr>
          <w:rFonts w:hint="default" w:ascii="Times New Roman" w:hAnsi="Times New Roman" w:eastAsia="仿宋_GB2312" w:cs="Times New Roman"/>
          <w:color w:val="000000"/>
          <w:kern w:val="0"/>
          <w:sz w:val="32"/>
          <w:szCs w:val="32"/>
          <w:highlight w:val="none"/>
          <w:lang w:bidi="ar"/>
        </w:rPr>
        <w:t>对冒名就医、挂床住院、分解住院的智能识别，</w:t>
      </w:r>
      <w:r>
        <w:rPr>
          <w:rFonts w:hint="default" w:ascii="Times New Roman" w:hAnsi="Times New Roman" w:eastAsia="仿宋_GB2312" w:cs="Times New Roman"/>
          <w:color w:val="000000"/>
          <w:kern w:val="0"/>
          <w:sz w:val="32"/>
          <w:szCs w:val="32"/>
          <w:highlight w:val="none"/>
          <w:lang w:eastAsia="zh-CN" w:bidi="ar"/>
        </w:rPr>
        <w:t>推动</w:t>
      </w:r>
      <w:r>
        <w:rPr>
          <w:rFonts w:hint="default" w:ascii="Times New Roman" w:hAnsi="Times New Roman" w:eastAsia="仿宋_GB2312" w:cs="Times New Roman"/>
          <w:color w:val="000000"/>
          <w:kern w:val="0"/>
          <w:sz w:val="32"/>
          <w:szCs w:val="32"/>
          <w:highlight w:val="none"/>
          <w:lang w:bidi="ar"/>
        </w:rPr>
        <w:t>智能监管模型迭代升级。推动药品追溯码全领域采集和全场景应用，深化与公安、</w:t>
      </w:r>
      <w:r>
        <w:rPr>
          <w:rFonts w:hint="eastAsia" w:ascii="Times New Roman" w:hAnsi="Times New Roman" w:eastAsia="仿宋_GB2312" w:cs="Times New Roman"/>
          <w:color w:val="000000"/>
          <w:kern w:val="0"/>
          <w:sz w:val="32"/>
          <w:szCs w:val="32"/>
          <w:highlight w:val="none"/>
          <w:lang w:val="en-US" w:eastAsia="zh-CN" w:bidi="ar"/>
        </w:rPr>
        <w:t>药品监管</w:t>
      </w:r>
      <w:r>
        <w:rPr>
          <w:rFonts w:hint="default" w:ascii="Times New Roman" w:hAnsi="Times New Roman" w:eastAsia="仿宋_GB2312" w:cs="Times New Roman"/>
          <w:color w:val="000000"/>
          <w:kern w:val="0"/>
          <w:sz w:val="32"/>
          <w:szCs w:val="32"/>
          <w:highlight w:val="none"/>
          <w:lang w:bidi="ar"/>
        </w:rPr>
        <w:t>部门联查联办，推动打击倒卖医保</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回流药</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，形成监管闭环</w:t>
      </w:r>
      <w:r>
        <w:rPr>
          <w:rFonts w:hint="default" w:ascii="Times New Roman" w:hAnsi="Times New Roman" w:eastAsia="仿宋_GB2312" w:cs="Times New Roman"/>
          <w:color w:val="000000"/>
          <w:kern w:val="0"/>
          <w:sz w:val="32"/>
          <w:szCs w:val="32"/>
          <w:highlight w:val="none"/>
          <w:lang w:eastAsia="zh-CN" w:bidi="ar"/>
        </w:rPr>
        <w:t>。</w:t>
      </w:r>
    </w:p>
    <w:p>
      <w:pPr>
        <w:spacing w:line="600" w:lineRule="exact"/>
        <w:ind w:firstLine="643" w:firstLineChars="200"/>
        <w:rPr>
          <w:rFonts w:hint="default" w:ascii="Times New Roman" w:hAnsi="Times New Roman" w:eastAsia="仿宋_GB2312" w:cs="Times New Roman"/>
          <w:color w:val="000000"/>
          <w:kern w:val="0"/>
          <w:sz w:val="32"/>
          <w:szCs w:val="32"/>
          <w:highlight w:val="none"/>
          <w:lang w:eastAsia="zh-CN" w:bidi="ar"/>
        </w:rPr>
      </w:pPr>
      <w:bookmarkStart w:id="24" w:name="_Toc24023"/>
      <w:r>
        <w:rPr>
          <w:rFonts w:hint="default" w:ascii="Times New Roman" w:hAnsi="Times New Roman" w:eastAsia="仿宋_GB2312" w:cs="Times New Roman"/>
          <w:b/>
          <w:bCs/>
          <w:color w:val="000000"/>
          <w:kern w:val="0"/>
          <w:sz w:val="32"/>
          <w:szCs w:val="32"/>
          <w:highlight w:val="none"/>
          <w:lang w:bidi="ar"/>
        </w:rPr>
        <w:t>3.持续健全基金监管长效机制</w:t>
      </w:r>
      <w:bookmarkEnd w:id="24"/>
      <w:r>
        <w:rPr>
          <w:rFonts w:hint="default" w:ascii="Times New Roman" w:hAnsi="Times New Roman" w:eastAsia="仿宋_GB2312" w:cs="Times New Roman"/>
          <w:b/>
          <w:bCs/>
          <w:color w:val="000000"/>
          <w:kern w:val="0"/>
          <w:sz w:val="32"/>
          <w:szCs w:val="32"/>
          <w:highlight w:val="none"/>
          <w:lang w:bidi="ar"/>
        </w:rPr>
        <w:t>。</w:t>
      </w:r>
      <w:r>
        <w:rPr>
          <w:rFonts w:hint="default" w:ascii="Times New Roman" w:hAnsi="Times New Roman" w:eastAsia="仿宋_GB2312" w:cs="Times New Roman"/>
          <w:color w:val="000000"/>
          <w:kern w:val="0"/>
          <w:sz w:val="32"/>
          <w:szCs w:val="32"/>
          <w:highlight w:val="none"/>
          <w:lang w:bidi="ar"/>
        </w:rPr>
        <w:t>提升基金监管法治化水平。全面落实《医疗保障基金使用监督管理条例实施细则》，完善裁量标准体系，规范执法流程</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推动制定医保基金监管地方性法规和规章。深化信用管理制度</w:t>
      </w:r>
      <w:r>
        <w:rPr>
          <w:rFonts w:hint="default" w:ascii="Times New Roman" w:hAnsi="Times New Roman" w:eastAsia="仿宋_GB2312" w:cs="Times New Roman"/>
          <w:color w:val="000000"/>
          <w:kern w:val="0"/>
          <w:sz w:val="32"/>
          <w:szCs w:val="32"/>
          <w:highlight w:val="none"/>
          <w:lang w:eastAsia="zh-CN" w:bidi="ar"/>
        </w:rPr>
        <w:t>建设，</w:t>
      </w:r>
      <w:r>
        <w:rPr>
          <w:rFonts w:hint="default" w:ascii="Times New Roman" w:hAnsi="Times New Roman" w:eastAsia="仿宋_GB2312" w:cs="Times New Roman"/>
          <w:color w:val="000000"/>
          <w:kern w:val="0"/>
          <w:sz w:val="32"/>
          <w:szCs w:val="32"/>
          <w:highlight w:val="none"/>
          <w:lang w:bidi="ar"/>
        </w:rPr>
        <w:t>聚焦“管信、征信、评信、用信”四个关键环节，构建涵盖定点医药机构及其从业人员、用人单位、参保人员的信用管理体系，将信用管理贯穿应用于医保基金监管全链条各环节，探索宽严相济的医保治理新机制，持续提升监管协同效能。</w:t>
      </w:r>
      <w:bookmarkStart w:id="25" w:name="_Toc2275"/>
      <w:r>
        <w:rPr>
          <w:rFonts w:hint="default" w:ascii="Times New Roman" w:hAnsi="Times New Roman" w:eastAsia="仿宋_GB2312" w:cs="Times New Roman"/>
          <w:color w:val="000000"/>
          <w:kern w:val="0"/>
          <w:sz w:val="32"/>
          <w:szCs w:val="32"/>
          <w:highlight w:val="none"/>
          <w:lang w:bidi="ar"/>
        </w:rPr>
        <w:t>加强社会监督与宣传引导</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完善欺诈骗保举报奖励制度，</w:t>
      </w:r>
      <w:r>
        <w:rPr>
          <w:rFonts w:hint="default" w:ascii="Times New Roman" w:hAnsi="Times New Roman" w:eastAsia="仿宋_GB2312" w:cs="Times New Roman"/>
          <w:color w:val="000000"/>
          <w:kern w:val="0"/>
          <w:sz w:val="32"/>
          <w:szCs w:val="32"/>
          <w:highlight w:val="none"/>
          <w:lang w:eastAsia="zh-CN" w:bidi="ar"/>
        </w:rPr>
        <w:t>拓宽丰富举报渠道，</w:t>
      </w:r>
      <w:r>
        <w:rPr>
          <w:rFonts w:hint="default" w:ascii="Times New Roman" w:hAnsi="Times New Roman" w:eastAsia="仿宋_GB2312" w:cs="Times New Roman"/>
          <w:color w:val="000000"/>
          <w:kern w:val="0"/>
          <w:sz w:val="32"/>
          <w:szCs w:val="32"/>
          <w:highlight w:val="none"/>
          <w:lang w:bidi="ar"/>
        </w:rPr>
        <w:t>规范举报线索办理流程</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健全社会监督员制度，定期组织明察暗访，构筑全民参与的社会监督机制</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常态化公开发布典型案例和警示教育素材，建立“滴灌式”教育引导机制，筑牢群防群治的基金安全防线。</w:t>
      </w:r>
    </w:p>
    <w:p>
      <w:pPr>
        <w:spacing w:line="600" w:lineRule="exact"/>
        <w:ind w:firstLine="640" w:firstLineChars="200"/>
        <w:rPr>
          <w:rFonts w:hint="default" w:ascii="Times New Roman" w:hAnsi="Times New Roman" w:eastAsia="楷体" w:cs="Times New Roman"/>
          <w:color w:val="000000"/>
          <w:kern w:val="0"/>
          <w:sz w:val="32"/>
          <w:szCs w:val="32"/>
          <w:highlight w:val="none"/>
          <w:lang w:bidi="ar"/>
        </w:rPr>
      </w:pPr>
      <w:r>
        <w:rPr>
          <w:rFonts w:hint="default" w:ascii="Times New Roman" w:hAnsi="Times New Roman" w:eastAsia="楷体" w:cs="Times New Roman"/>
          <w:color w:val="000000"/>
          <w:kern w:val="0"/>
          <w:sz w:val="32"/>
          <w:szCs w:val="32"/>
          <w:highlight w:val="none"/>
          <w:lang w:bidi="ar"/>
        </w:rPr>
        <w:t>（八）优化医保经办管理服务</w:t>
      </w:r>
      <w:bookmarkEnd w:id="25"/>
    </w:p>
    <w:p>
      <w:pPr>
        <w:spacing w:line="600" w:lineRule="exact"/>
        <w:ind w:firstLine="643" w:firstLineChars="200"/>
        <w:rPr>
          <w:rFonts w:hint="default" w:ascii="Times New Roman" w:hAnsi="Times New Roman" w:eastAsia="仿宋_GB2312" w:cs="Times New Roman"/>
          <w:color w:val="000000"/>
          <w:kern w:val="0"/>
          <w:sz w:val="32"/>
          <w:szCs w:val="32"/>
          <w:highlight w:val="none"/>
          <w:lang w:bidi="ar"/>
        </w:rPr>
      </w:pPr>
      <w:bookmarkStart w:id="26" w:name="_Toc28919"/>
      <w:r>
        <w:rPr>
          <w:rFonts w:hint="default" w:ascii="Times New Roman" w:hAnsi="Times New Roman" w:eastAsia="仿宋_GB2312" w:cs="Times New Roman"/>
          <w:b/>
          <w:bCs/>
          <w:color w:val="000000"/>
          <w:kern w:val="0"/>
          <w:sz w:val="32"/>
          <w:szCs w:val="32"/>
          <w:highlight w:val="none"/>
          <w:lang w:bidi="ar"/>
        </w:rPr>
        <w:t>1.打造更高水平医保经办管理服务体系</w:t>
      </w:r>
      <w:bookmarkEnd w:id="26"/>
      <w:r>
        <w:rPr>
          <w:rFonts w:hint="default" w:ascii="Times New Roman" w:hAnsi="Times New Roman" w:eastAsia="仿宋_GB2312" w:cs="Times New Roman"/>
          <w:b/>
          <w:bCs/>
          <w:color w:val="000000"/>
          <w:kern w:val="0"/>
          <w:sz w:val="32"/>
          <w:szCs w:val="32"/>
          <w:highlight w:val="none"/>
          <w:lang w:bidi="ar"/>
        </w:rPr>
        <w:t>。</w:t>
      </w:r>
      <w:r>
        <w:rPr>
          <w:rFonts w:hint="default" w:ascii="Times New Roman" w:hAnsi="Times New Roman" w:eastAsia="仿宋_GB2312" w:cs="Times New Roman"/>
          <w:color w:val="000000"/>
          <w:kern w:val="0"/>
          <w:sz w:val="32"/>
          <w:szCs w:val="32"/>
          <w:highlight w:val="none"/>
          <w:lang w:bidi="ar"/>
        </w:rPr>
        <w:t>推动构建与多层次医疗保障体系</w:t>
      </w:r>
      <w:r>
        <w:rPr>
          <w:rFonts w:hint="default" w:ascii="Times New Roman" w:hAnsi="Times New Roman" w:eastAsia="仿宋_GB2312" w:cs="Times New Roman"/>
          <w:color w:val="000000"/>
          <w:kern w:val="0"/>
          <w:sz w:val="32"/>
          <w:szCs w:val="32"/>
          <w:highlight w:val="none"/>
          <w:lang w:eastAsia="zh-CN" w:bidi="ar"/>
        </w:rPr>
        <w:t>相适配</w:t>
      </w:r>
      <w:r>
        <w:rPr>
          <w:rFonts w:hint="default" w:ascii="Times New Roman" w:hAnsi="Times New Roman" w:eastAsia="仿宋_GB2312" w:cs="Times New Roman"/>
          <w:color w:val="000000"/>
          <w:kern w:val="0"/>
          <w:sz w:val="32"/>
          <w:szCs w:val="32"/>
          <w:highlight w:val="none"/>
          <w:lang w:bidi="ar"/>
        </w:rPr>
        <w:t>的经办服务体系，巩固提升基本医保、大病保险、医疗救助三重</w:t>
      </w:r>
      <w:r>
        <w:rPr>
          <w:rFonts w:hint="default" w:ascii="Times New Roman" w:hAnsi="Times New Roman" w:eastAsia="仿宋_GB2312" w:cs="Times New Roman"/>
          <w:color w:val="000000"/>
          <w:kern w:val="0"/>
          <w:sz w:val="32"/>
          <w:szCs w:val="32"/>
          <w:highlight w:val="none"/>
          <w:lang w:eastAsia="zh-CN" w:bidi="ar"/>
        </w:rPr>
        <w:t>制度</w:t>
      </w:r>
      <w:r>
        <w:rPr>
          <w:rFonts w:hint="default" w:ascii="Times New Roman" w:hAnsi="Times New Roman" w:eastAsia="仿宋_GB2312" w:cs="Times New Roman"/>
          <w:color w:val="000000"/>
          <w:kern w:val="0"/>
          <w:sz w:val="32"/>
          <w:szCs w:val="32"/>
          <w:highlight w:val="none"/>
          <w:lang w:bidi="ar"/>
        </w:rPr>
        <w:t>保障</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经办服务水平。建立健全与省级统筹层次和统筹模式相匹配的经办管理体制。建立健全长期护理保险经办管理服务体系。巩固经办体系建设成果，推进医保强基工作，</w:t>
      </w:r>
      <w:r>
        <w:rPr>
          <w:rFonts w:hint="default" w:ascii="Times New Roman" w:hAnsi="Times New Roman" w:eastAsia="仿宋_GB2312" w:cs="Times New Roman"/>
          <w:color w:val="000000"/>
          <w:kern w:val="0"/>
          <w:sz w:val="32"/>
          <w:szCs w:val="32"/>
          <w:highlight w:val="none"/>
          <w:lang w:val="en-US" w:eastAsia="zh-CN" w:bidi="ar"/>
        </w:rPr>
        <w:t>鼓励</w:t>
      </w:r>
      <w:r>
        <w:rPr>
          <w:rFonts w:hint="default" w:ascii="Times New Roman" w:hAnsi="Times New Roman" w:eastAsia="仿宋_GB2312" w:cs="Times New Roman"/>
          <w:color w:val="000000"/>
          <w:kern w:val="0"/>
          <w:sz w:val="32"/>
          <w:szCs w:val="32"/>
          <w:highlight w:val="none"/>
          <w:lang w:bidi="ar"/>
        </w:rPr>
        <w:t>在定点医药机构设立医保服务站点</w:t>
      </w:r>
      <w:r>
        <w:rPr>
          <w:rFonts w:hint="default" w:ascii="Times New Roman" w:hAnsi="Times New Roman" w:eastAsia="仿宋_GB2312" w:cs="Times New Roman"/>
          <w:color w:val="000000"/>
          <w:kern w:val="0"/>
          <w:sz w:val="32"/>
          <w:szCs w:val="32"/>
          <w:highlight w:val="none"/>
          <w:lang w:val="en-US" w:eastAsia="zh-CN" w:bidi="ar"/>
        </w:rPr>
        <w:t>和配置终端设备</w:t>
      </w:r>
      <w:r>
        <w:rPr>
          <w:rFonts w:hint="default" w:ascii="Times New Roman" w:hAnsi="Times New Roman" w:eastAsia="仿宋_GB2312" w:cs="Times New Roman"/>
          <w:color w:val="000000"/>
          <w:kern w:val="0"/>
          <w:sz w:val="32"/>
          <w:szCs w:val="32"/>
          <w:highlight w:val="none"/>
          <w:lang w:bidi="ar"/>
        </w:rPr>
        <w:t>，深化医保便民服务帮办代办质效，提升医保经办服务全域覆盖水平。进一步统一全省医保经办政务服务事项、服务规程和操作规范，提升全省通办和跨省通办</w:t>
      </w:r>
      <w:r>
        <w:rPr>
          <w:rFonts w:hint="default" w:ascii="Times New Roman" w:hAnsi="Times New Roman" w:eastAsia="仿宋_GB2312" w:cs="Times New Roman"/>
          <w:color w:val="000000"/>
          <w:kern w:val="0"/>
          <w:sz w:val="32"/>
          <w:szCs w:val="32"/>
          <w:highlight w:val="none"/>
          <w:lang w:eastAsia="zh-CN" w:bidi="ar"/>
        </w:rPr>
        <w:t>服务效能</w:t>
      </w:r>
      <w:r>
        <w:rPr>
          <w:rFonts w:hint="default" w:ascii="Times New Roman" w:hAnsi="Times New Roman" w:eastAsia="仿宋_GB2312" w:cs="Times New Roman"/>
          <w:color w:val="000000"/>
          <w:kern w:val="0"/>
          <w:sz w:val="32"/>
          <w:szCs w:val="32"/>
          <w:highlight w:val="none"/>
          <w:lang w:bidi="ar"/>
        </w:rPr>
        <w:t>。持续提升经办审核和核查能力，加强经办日常、专项、重点核查。</w:t>
      </w:r>
    </w:p>
    <w:p>
      <w:pPr>
        <w:spacing w:line="560" w:lineRule="exact"/>
        <w:ind w:firstLine="643" w:firstLineChars="200"/>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b/>
          <w:bCs/>
          <w:color w:val="000000"/>
          <w:kern w:val="0"/>
          <w:sz w:val="32"/>
          <w:szCs w:val="32"/>
          <w:highlight w:val="none"/>
          <w:lang w:bidi="ar"/>
        </w:rPr>
        <w:t>2.完善医保结算审核机制。</w:t>
      </w:r>
      <w:r>
        <w:rPr>
          <w:rFonts w:hint="default" w:ascii="Times New Roman" w:hAnsi="Times New Roman" w:eastAsia="仿宋_GB2312" w:cs="Times New Roman"/>
          <w:color w:val="000000"/>
          <w:kern w:val="0"/>
          <w:sz w:val="32"/>
          <w:szCs w:val="32"/>
          <w:highlight w:val="none"/>
          <w:lang w:bidi="ar"/>
        </w:rPr>
        <w:t>完善医保基金预付、结算清算等机制，逐步调整至每年3月底前完成清算，清算资金占全年基金拨付比例逐步降低至3%左右。全面扩大即时结算范围，协同推进直接结算、同步结算。探索将生育保险、长期护理保险纳入直接结算体系。巩固异地就医直接结算服务，规范异地就医直接结算管理，严格落实“先备案、后结算”。推进异地就医费用纳入本地同质化管理。强化经办全业务全流程智能审核体系建设</w:t>
      </w:r>
      <w:r>
        <w:rPr>
          <w:rFonts w:hint="default" w:ascii="Times New Roman" w:hAnsi="Times New Roman" w:eastAsia="仿宋_GB2312" w:cs="Times New Roman"/>
          <w:color w:val="000000"/>
          <w:kern w:val="0"/>
          <w:sz w:val="32"/>
          <w:szCs w:val="32"/>
          <w:highlight w:val="none"/>
          <w:lang w:eastAsia="zh-CN" w:bidi="ar"/>
        </w:rPr>
        <w:t>，建立经办智能审核规则共建共享机制</w:t>
      </w:r>
      <w:r>
        <w:rPr>
          <w:rFonts w:hint="default" w:ascii="Times New Roman" w:hAnsi="Times New Roman" w:eastAsia="仿宋_GB2312" w:cs="Times New Roman"/>
          <w:color w:val="000000"/>
          <w:kern w:val="0"/>
          <w:sz w:val="32"/>
          <w:szCs w:val="32"/>
          <w:highlight w:val="none"/>
          <w:lang w:bidi="ar"/>
        </w:rPr>
        <w:t>。</w:t>
      </w:r>
    </w:p>
    <w:p>
      <w:pPr>
        <w:spacing w:line="560" w:lineRule="exact"/>
        <w:ind w:firstLine="643" w:firstLineChars="200"/>
        <w:rPr>
          <w:rFonts w:hint="default" w:ascii="Times New Roman" w:hAnsi="Times New Roman" w:eastAsia="仿宋_GB2312" w:cs="Times New Roman"/>
          <w:color w:val="000000"/>
          <w:kern w:val="0"/>
          <w:sz w:val="32"/>
          <w:szCs w:val="32"/>
          <w:highlight w:val="none"/>
          <w:lang w:bidi="ar"/>
        </w:rPr>
      </w:pPr>
      <w:r>
        <w:rPr>
          <w:rFonts w:hint="default" w:ascii="Times New Roman" w:hAnsi="Times New Roman" w:eastAsia="仿宋_GB2312" w:cs="Times New Roman"/>
          <w:b/>
          <w:bCs/>
          <w:color w:val="000000"/>
          <w:kern w:val="0"/>
          <w:sz w:val="32"/>
          <w:szCs w:val="32"/>
          <w:highlight w:val="none"/>
          <w:lang w:bidi="ar"/>
        </w:rPr>
        <w:t>3.健全医保协议管理机制。</w:t>
      </w:r>
      <w:r>
        <w:rPr>
          <w:rFonts w:hint="default" w:ascii="Times New Roman" w:hAnsi="Times New Roman" w:eastAsia="仿宋_GB2312" w:cs="Times New Roman"/>
          <w:color w:val="000000"/>
          <w:kern w:val="0"/>
          <w:sz w:val="32"/>
          <w:szCs w:val="32"/>
          <w:highlight w:val="none"/>
          <w:lang w:bidi="ar"/>
        </w:rPr>
        <w:t>严格执行协议管理“一规程两范本”，明确准入、评估</w:t>
      </w:r>
      <w:r>
        <w:rPr>
          <w:rFonts w:hint="default" w:ascii="Times New Roman" w:hAnsi="Times New Roman" w:eastAsia="仿宋_GB2312" w:cs="Times New Roman"/>
          <w:color w:val="000000"/>
          <w:kern w:val="0"/>
          <w:sz w:val="32"/>
          <w:szCs w:val="32"/>
          <w:highlight w:val="none"/>
          <w:lang w:eastAsia="zh-CN" w:bidi="ar"/>
        </w:rPr>
        <w:t>与</w:t>
      </w:r>
      <w:r>
        <w:rPr>
          <w:rFonts w:hint="default" w:ascii="Times New Roman" w:hAnsi="Times New Roman" w:eastAsia="仿宋_GB2312" w:cs="Times New Roman"/>
          <w:color w:val="000000"/>
          <w:kern w:val="0"/>
          <w:sz w:val="32"/>
          <w:szCs w:val="32"/>
          <w:highlight w:val="none"/>
          <w:lang w:bidi="ar"/>
        </w:rPr>
        <w:t>退出标准</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推</w:t>
      </w:r>
      <w:r>
        <w:rPr>
          <w:rFonts w:hint="default" w:ascii="Times New Roman" w:hAnsi="Times New Roman" w:eastAsia="仿宋_GB2312" w:cs="Times New Roman"/>
          <w:color w:val="000000"/>
          <w:kern w:val="0"/>
          <w:sz w:val="32"/>
          <w:szCs w:val="32"/>
          <w:highlight w:val="none"/>
          <w:lang w:eastAsia="zh-CN" w:bidi="ar"/>
        </w:rPr>
        <w:t>动</w:t>
      </w:r>
      <w:r>
        <w:rPr>
          <w:rFonts w:hint="default" w:ascii="Times New Roman" w:hAnsi="Times New Roman" w:eastAsia="仿宋_GB2312" w:cs="Times New Roman"/>
          <w:color w:val="000000"/>
          <w:kern w:val="0"/>
          <w:sz w:val="32"/>
          <w:szCs w:val="32"/>
          <w:highlight w:val="none"/>
          <w:lang w:bidi="ar"/>
        </w:rPr>
        <w:t>协议管理电子化、信息化、智能化</w:t>
      </w:r>
      <w:r>
        <w:rPr>
          <w:rFonts w:hint="default" w:ascii="Times New Roman" w:hAnsi="Times New Roman" w:eastAsia="仿宋_GB2312" w:cs="Times New Roman"/>
          <w:color w:val="000000"/>
          <w:kern w:val="0"/>
          <w:sz w:val="32"/>
          <w:szCs w:val="32"/>
          <w:highlight w:val="none"/>
          <w:lang w:eastAsia="zh-CN" w:bidi="ar"/>
        </w:rPr>
        <w:t>建设</w:t>
      </w:r>
      <w:r>
        <w:rPr>
          <w:rFonts w:hint="default" w:ascii="Times New Roman" w:hAnsi="Times New Roman" w:eastAsia="仿宋_GB2312" w:cs="Times New Roman"/>
          <w:color w:val="000000"/>
          <w:kern w:val="0"/>
          <w:sz w:val="32"/>
          <w:szCs w:val="32"/>
          <w:highlight w:val="none"/>
          <w:lang w:bidi="ar"/>
        </w:rPr>
        <w:t>。建立健全两定机构动态管理机制，科学设置医保协议评估指标。</w:t>
      </w:r>
      <w:r>
        <w:rPr>
          <w:rFonts w:hint="default" w:ascii="Times New Roman" w:hAnsi="Times New Roman" w:eastAsia="仿宋_GB2312" w:cs="Times New Roman"/>
          <w:color w:val="000000"/>
          <w:kern w:val="0"/>
          <w:sz w:val="32"/>
          <w:szCs w:val="32"/>
          <w:highlight w:val="none"/>
          <w:lang w:eastAsia="zh-CN" w:bidi="ar"/>
        </w:rPr>
        <w:t>强化</w:t>
      </w:r>
      <w:r>
        <w:rPr>
          <w:rFonts w:hint="default" w:ascii="Times New Roman" w:hAnsi="Times New Roman" w:eastAsia="仿宋_GB2312" w:cs="Times New Roman"/>
          <w:color w:val="000000"/>
          <w:kern w:val="0"/>
          <w:sz w:val="32"/>
          <w:szCs w:val="32"/>
          <w:highlight w:val="none"/>
          <w:lang w:bidi="ar"/>
        </w:rPr>
        <w:t>对定点医药机构</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核查</w:t>
      </w:r>
      <w:r>
        <w:rPr>
          <w:rFonts w:hint="default" w:ascii="Times New Roman" w:hAnsi="Times New Roman" w:eastAsia="仿宋_GB2312" w:cs="Times New Roman"/>
          <w:color w:val="000000"/>
          <w:kern w:val="0"/>
          <w:sz w:val="32"/>
          <w:szCs w:val="32"/>
          <w:highlight w:val="none"/>
          <w:lang w:eastAsia="zh-CN" w:bidi="ar"/>
        </w:rPr>
        <w:t>以及</w:t>
      </w:r>
      <w:r>
        <w:rPr>
          <w:rFonts w:hint="default" w:ascii="Times New Roman" w:hAnsi="Times New Roman" w:eastAsia="仿宋_GB2312" w:cs="Times New Roman"/>
          <w:color w:val="000000"/>
          <w:kern w:val="0"/>
          <w:sz w:val="32"/>
          <w:szCs w:val="32"/>
          <w:highlight w:val="none"/>
          <w:lang w:bidi="ar"/>
        </w:rPr>
        <w:t>违约行为</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协议处理，进一步规范工作流程</w:t>
      </w:r>
      <w:r>
        <w:rPr>
          <w:rFonts w:hint="default" w:ascii="Times New Roman" w:hAnsi="Times New Roman" w:eastAsia="仿宋_GB2312" w:cs="Times New Roman"/>
          <w:color w:val="000000"/>
          <w:kern w:val="0"/>
          <w:sz w:val="32"/>
          <w:szCs w:val="32"/>
          <w:highlight w:val="none"/>
          <w:lang w:eastAsia="zh-CN" w:bidi="ar"/>
        </w:rPr>
        <w:t>与</w:t>
      </w:r>
      <w:r>
        <w:rPr>
          <w:rFonts w:hint="default" w:ascii="Times New Roman" w:hAnsi="Times New Roman" w:eastAsia="仿宋_GB2312" w:cs="Times New Roman"/>
          <w:color w:val="000000"/>
          <w:kern w:val="0"/>
          <w:sz w:val="32"/>
          <w:szCs w:val="32"/>
          <w:highlight w:val="none"/>
          <w:lang w:bidi="ar"/>
        </w:rPr>
        <w:t>违约认定标准</w:t>
      </w:r>
      <w:r>
        <w:rPr>
          <w:rFonts w:hint="default" w:ascii="Times New Roman" w:hAnsi="Times New Roman" w:eastAsia="仿宋_GB2312" w:cs="Times New Roman"/>
          <w:color w:val="000000"/>
          <w:kern w:val="0"/>
          <w:sz w:val="32"/>
          <w:szCs w:val="32"/>
          <w:highlight w:val="none"/>
          <w:lang w:eastAsia="zh-CN" w:bidi="ar"/>
        </w:rPr>
        <w:t>，</w:t>
      </w:r>
      <w:r>
        <w:rPr>
          <w:rFonts w:hint="default" w:ascii="Times New Roman" w:hAnsi="Times New Roman" w:eastAsia="仿宋_GB2312" w:cs="Times New Roman"/>
          <w:color w:val="000000"/>
          <w:kern w:val="0"/>
          <w:sz w:val="32"/>
          <w:szCs w:val="32"/>
          <w:highlight w:val="none"/>
          <w:lang w:bidi="ar"/>
        </w:rPr>
        <w:t>做好医保定点医药机构相关人员医保支付资格</w:t>
      </w:r>
      <w:r>
        <w:rPr>
          <w:rFonts w:hint="default" w:ascii="Times New Roman" w:hAnsi="Times New Roman" w:eastAsia="仿宋_GB2312" w:cs="Times New Roman"/>
          <w:color w:val="000000"/>
          <w:kern w:val="0"/>
          <w:sz w:val="32"/>
          <w:szCs w:val="32"/>
          <w:highlight w:val="none"/>
          <w:lang w:eastAsia="zh-CN" w:bidi="ar"/>
        </w:rPr>
        <w:t>的</w:t>
      </w:r>
      <w:r>
        <w:rPr>
          <w:rFonts w:hint="default" w:ascii="Times New Roman" w:hAnsi="Times New Roman" w:eastAsia="仿宋_GB2312" w:cs="Times New Roman"/>
          <w:color w:val="000000"/>
          <w:kern w:val="0"/>
          <w:sz w:val="32"/>
          <w:szCs w:val="32"/>
          <w:highlight w:val="none"/>
          <w:lang w:bidi="ar"/>
        </w:rPr>
        <w:t>经办</w:t>
      </w:r>
      <w:r>
        <w:rPr>
          <w:rFonts w:hint="default" w:ascii="Times New Roman" w:hAnsi="Times New Roman" w:eastAsia="仿宋_GB2312" w:cs="Times New Roman"/>
          <w:color w:val="000000"/>
          <w:kern w:val="0"/>
          <w:sz w:val="32"/>
          <w:szCs w:val="32"/>
          <w:highlight w:val="none"/>
          <w:lang w:eastAsia="zh-CN" w:bidi="ar"/>
        </w:rPr>
        <w:t>管理工作</w:t>
      </w:r>
      <w:r>
        <w:rPr>
          <w:rFonts w:hint="default" w:ascii="Times New Roman" w:hAnsi="Times New Roman" w:eastAsia="仿宋_GB2312" w:cs="Times New Roman"/>
          <w:color w:val="000000"/>
          <w:kern w:val="0"/>
          <w:sz w:val="32"/>
          <w:szCs w:val="32"/>
          <w:highlight w:val="none"/>
          <w:lang w:bidi="ar"/>
        </w:rPr>
        <w:t>。</w:t>
      </w:r>
    </w:p>
    <w:p>
      <w:pPr>
        <w:spacing w:line="560" w:lineRule="exact"/>
        <w:ind w:firstLine="643" w:firstLineChars="200"/>
        <w:rPr>
          <w:rFonts w:hint="default" w:ascii="Times New Roman" w:hAnsi="Times New Roman" w:eastAsia="仿宋_GB2312" w:cs="Times New Roman"/>
          <w:color w:val="000000"/>
          <w:kern w:val="0"/>
          <w:sz w:val="32"/>
          <w:szCs w:val="32"/>
          <w:highlight w:val="none"/>
          <w:lang w:eastAsia="zh-CN" w:bidi="ar"/>
        </w:rPr>
      </w:pPr>
      <w:r>
        <w:rPr>
          <w:rFonts w:hint="default" w:ascii="Times New Roman" w:hAnsi="Times New Roman" w:eastAsia="仿宋_GB2312" w:cs="Times New Roman"/>
          <w:b/>
          <w:bCs/>
          <w:color w:val="000000"/>
          <w:kern w:val="0"/>
          <w:sz w:val="32"/>
          <w:szCs w:val="32"/>
          <w:highlight w:val="none"/>
          <w:lang w:bidi="ar"/>
        </w:rPr>
        <w:t>4.优化公共服务供给机制。</w:t>
      </w:r>
      <w:r>
        <w:rPr>
          <w:rFonts w:hint="default" w:ascii="Times New Roman" w:hAnsi="Times New Roman" w:eastAsia="仿宋_GB2312" w:cs="Times New Roman"/>
          <w:color w:val="000000"/>
          <w:kern w:val="0"/>
          <w:sz w:val="32"/>
          <w:szCs w:val="32"/>
          <w:highlight w:val="none"/>
          <w:lang w:bidi="ar"/>
        </w:rPr>
        <w:t>持续推进“湘医保·心服务”品牌建设，深化“高效办成一件事”改革，推动更多惠民举措落地见效。</w:t>
      </w:r>
      <w:r>
        <w:rPr>
          <w:rFonts w:hint="default" w:ascii="Times New Roman" w:hAnsi="Times New Roman" w:eastAsia="仿宋_GB2312" w:cs="Times New Roman"/>
          <w:color w:val="000000"/>
          <w:kern w:val="0"/>
          <w:sz w:val="32"/>
          <w:szCs w:val="32"/>
          <w:highlight w:val="none"/>
          <w:lang w:eastAsia="zh-CN" w:bidi="ar"/>
        </w:rPr>
        <w:t>推广</w:t>
      </w:r>
      <w:r>
        <w:rPr>
          <w:rFonts w:hint="default" w:ascii="Times New Roman" w:hAnsi="Times New Roman" w:eastAsia="仿宋_GB2312" w:cs="Times New Roman"/>
          <w:color w:val="000000"/>
          <w:kern w:val="0"/>
          <w:sz w:val="32"/>
          <w:szCs w:val="32"/>
          <w:highlight w:val="none"/>
          <w:lang w:bidi="ar"/>
        </w:rPr>
        <w:t>刷脸支付、一码支付、移动支付、信用支付等便捷支付</w:t>
      </w:r>
      <w:r>
        <w:rPr>
          <w:rFonts w:hint="default" w:ascii="Times New Roman" w:hAnsi="Times New Roman" w:eastAsia="仿宋_GB2312" w:cs="Times New Roman"/>
          <w:color w:val="000000"/>
          <w:kern w:val="0"/>
          <w:sz w:val="32"/>
          <w:szCs w:val="32"/>
          <w:highlight w:val="none"/>
          <w:lang w:eastAsia="zh-CN" w:bidi="ar"/>
        </w:rPr>
        <w:t>方式</w:t>
      </w:r>
      <w:r>
        <w:rPr>
          <w:rFonts w:hint="default" w:ascii="Times New Roman" w:hAnsi="Times New Roman" w:eastAsia="仿宋_GB2312" w:cs="Times New Roman"/>
          <w:color w:val="000000"/>
          <w:kern w:val="0"/>
          <w:sz w:val="32"/>
          <w:szCs w:val="32"/>
          <w:highlight w:val="none"/>
          <w:lang w:bidi="ar"/>
        </w:rPr>
        <w:t>，</w:t>
      </w:r>
      <w:r>
        <w:rPr>
          <w:rFonts w:hint="default" w:ascii="Times New Roman" w:hAnsi="Times New Roman" w:eastAsia="仿宋_GB2312" w:cs="Times New Roman"/>
          <w:color w:val="000000"/>
          <w:kern w:val="0"/>
          <w:sz w:val="32"/>
          <w:szCs w:val="32"/>
          <w:highlight w:val="none"/>
          <w:lang w:eastAsia="zh-CN" w:bidi="ar"/>
        </w:rPr>
        <w:t>提升定点医疗机构结算报销效率。</w:t>
      </w:r>
      <w:r>
        <w:rPr>
          <w:rFonts w:hint="default" w:ascii="Times New Roman" w:hAnsi="Times New Roman" w:eastAsia="仿宋_GB2312" w:cs="Times New Roman"/>
          <w:color w:val="000000"/>
          <w:kern w:val="0"/>
          <w:sz w:val="32"/>
          <w:szCs w:val="32"/>
          <w:highlight w:val="none"/>
          <w:lang w:bidi="ar"/>
        </w:rPr>
        <w:t>全面推行门诊慢特病、“双通道”药品待遇线上办理，</w:t>
      </w:r>
      <w:r>
        <w:rPr>
          <w:rFonts w:hint="default" w:ascii="Times New Roman" w:hAnsi="Times New Roman" w:eastAsia="仿宋_GB2312" w:cs="Times New Roman"/>
          <w:color w:val="000000"/>
          <w:kern w:val="0"/>
          <w:sz w:val="32"/>
          <w:szCs w:val="32"/>
          <w:highlight w:val="none"/>
          <w:lang w:eastAsia="zh-CN" w:bidi="ar"/>
        </w:rPr>
        <w:t>推动</w:t>
      </w:r>
      <w:r>
        <w:rPr>
          <w:rFonts w:hint="default" w:ascii="Times New Roman" w:hAnsi="Times New Roman" w:eastAsia="仿宋_GB2312" w:cs="Times New Roman"/>
          <w:color w:val="000000"/>
          <w:kern w:val="0"/>
          <w:sz w:val="32"/>
          <w:szCs w:val="32"/>
          <w:highlight w:val="none"/>
          <w:lang w:bidi="ar"/>
        </w:rPr>
        <w:t>更多高频事项</w:t>
      </w:r>
      <w:r>
        <w:rPr>
          <w:rFonts w:hint="default" w:ascii="Times New Roman" w:hAnsi="Times New Roman" w:eastAsia="仿宋_GB2312" w:cs="Times New Roman"/>
          <w:color w:val="000000"/>
          <w:kern w:val="0"/>
          <w:sz w:val="32"/>
          <w:szCs w:val="32"/>
          <w:highlight w:val="none"/>
          <w:lang w:eastAsia="zh-CN" w:bidi="ar"/>
        </w:rPr>
        <w:t>实现</w:t>
      </w:r>
      <w:r>
        <w:rPr>
          <w:rFonts w:hint="default" w:ascii="Times New Roman" w:hAnsi="Times New Roman" w:eastAsia="仿宋_GB2312" w:cs="Times New Roman"/>
          <w:color w:val="000000"/>
          <w:kern w:val="0"/>
          <w:sz w:val="32"/>
          <w:szCs w:val="32"/>
          <w:highlight w:val="none"/>
          <w:lang w:bidi="ar"/>
        </w:rPr>
        <w:t>“全程网办”“掌上办”</w:t>
      </w:r>
      <w:r>
        <w:rPr>
          <w:rFonts w:hint="default" w:ascii="Times New Roman" w:hAnsi="Times New Roman" w:eastAsia="仿宋_GB2312" w:cs="Times New Roman"/>
          <w:color w:val="000000"/>
          <w:kern w:val="0"/>
          <w:sz w:val="32"/>
          <w:szCs w:val="32"/>
          <w:highlight w:val="none"/>
          <w:lang w:eastAsia="zh-CN" w:bidi="ar"/>
        </w:rPr>
        <w:t>，推动</w:t>
      </w:r>
      <w:r>
        <w:rPr>
          <w:rFonts w:hint="default" w:ascii="Times New Roman" w:hAnsi="Times New Roman" w:eastAsia="仿宋_GB2312" w:cs="Times New Roman"/>
          <w:color w:val="000000"/>
          <w:kern w:val="0"/>
          <w:sz w:val="32"/>
          <w:szCs w:val="32"/>
          <w:highlight w:val="none"/>
          <w:lang w:bidi="ar"/>
        </w:rPr>
        <w:t>更多病种</w:t>
      </w:r>
      <w:r>
        <w:rPr>
          <w:rFonts w:hint="default" w:ascii="Times New Roman" w:hAnsi="Times New Roman" w:eastAsia="仿宋_GB2312" w:cs="Times New Roman"/>
          <w:color w:val="000000"/>
          <w:kern w:val="0"/>
          <w:sz w:val="32"/>
          <w:szCs w:val="32"/>
          <w:highlight w:val="none"/>
          <w:lang w:eastAsia="zh-CN" w:bidi="ar"/>
        </w:rPr>
        <w:t>实现</w:t>
      </w:r>
      <w:r>
        <w:rPr>
          <w:rFonts w:hint="default" w:ascii="Times New Roman" w:hAnsi="Times New Roman" w:eastAsia="仿宋_GB2312" w:cs="Times New Roman"/>
          <w:color w:val="000000"/>
          <w:kern w:val="0"/>
          <w:sz w:val="32"/>
          <w:szCs w:val="32"/>
          <w:highlight w:val="none"/>
          <w:lang w:bidi="ar"/>
        </w:rPr>
        <w:t>“待遇找人”。全面实现职工医保个人账户跨省共济。进一步健全线上线下服务评价机制。</w:t>
      </w:r>
    </w:p>
    <w:tbl>
      <w:tblPr>
        <w:tblStyle w:val="4"/>
        <w:tblW w:w="4968" w:type="pct"/>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Times New Roman" w:hAnsi="Times New Roman" w:eastAsia="仿宋_GB2312" w:cs="Times New Roman"/>
                <w:color w:val="000000"/>
                <w:kern w:val="0"/>
                <w:sz w:val="28"/>
                <w:szCs w:val="28"/>
                <w:highlight w:val="none"/>
                <w:lang w:bidi="ar"/>
              </w:rPr>
            </w:pPr>
            <w:bookmarkStart w:id="27" w:name="OLE_LINK5" w:colFirst="0" w:colLast="0"/>
            <w:r>
              <w:rPr>
                <w:rFonts w:hint="default" w:ascii="Times New Roman" w:hAnsi="Times New Roman" w:eastAsia="黑体" w:cs="Times New Roman"/>
                <w:color w:val="000000"/>
                <w:kern w:val="0"/>
                <w:sz w:val="28"/>
                <w:szCs w:val="28"/>
                <w:highlight w:val="none"/>
                <w:lang w:bidi="ar"/>
              </w:rPr>
              <w:t>专栏</w:t>
            </w:r>
            <w:r>
              <w:rPr>
                <w:rFonts w:hint="default" w:ascii="Times New Roman" w:hAnsi="Times New Roman" w:eastAsia="黑体" w:cs="Times New Roman"/>
                <w:color w:val="000000"/>
                <w:kern w:val="0"/>
                <w:sz w:val="28"/>
                <w:szCs w:val="28"/>
                <w:highlight w:val="none"/>
                <w:lang w:eastAsia="zh-CN" w:bidi="ar"/>
              </w:rPr>
              <w:t>5</w:t>
            </w:r>
            <w:r>
              <w:rPr>
                <w:rFonts w:hint="default" w:ascii="Times New Roman" w:hAnsi="Times New Roman" w:eastAsia="黑体" w:cs="Times New Roman"/>
                <w:color w:val="000000"/>
                <w:kern w:val="0"/>
                <w:sz w:val="28"/>
                <w:szCs w:val="28"/>
                <w:highlight w:val="none"/>
                <w:lang w:bidi="ar"/>
              </w:rPr>
              <w:t xml:space="preserve">  </w:t>
            </w:r>
            <w:bookmarkStart w:id="28" w:name="OLE_LINK6"/>
            <w:r>
              <w:rPr>
                <w:rFonts w:hint="default" w:ascii="Times New Roman" w:hAnsi="Times New Roman" w:eastAsia="黑体" w:cs="Times New Roman"/>
                <w:color w:val="000000"/>
                <w:kern w:val="0"/>
                <w:sz w:val="28"/>
                <w:szCs w:val="28"/>
                <w:highlight w:val="none"/>
                <w:lang w:bidi="ar"/>
              </w:rPr>
              <w:t>“湘医保·心服务”</w:t>
            </w:r>
            <w:bookmarkStart w:id="29" w:name="OLE_LINK2"/>
            <w:r>
              <w:rPr>
                <w:rFonts w:hint="default" w:ascii="Times New Roman" w:hAnsi="Times New Roman" w:eastAsia="黑体" w:cs="Times New Roman"/>
                <w:color w:val="000000"/>
                <w:kern w:val="0"/>
                <w:sz w:val="28"/>
                <w:szCs w:val="28"/>
                <w:highlight w:val="none"/>
                <w:lang w:bidi="ar"/>
              </w:rPr>
              <w:t>提档升级</w:t>
            </w:r>
            <w:bookmarkEnd w:id="28"/>
            <w:bookmarkEnd w:id="2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3"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340" w:lineRule="exact"/>
              <w:ind w:firstLine="560" w:firstLineChars="200"/>
              <w:jc w:val="lef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1.以全省统一医保经办服务规程为基准，遵循“标准统一、服务下沉、数字赋能、全域通办”的建设路径，构建省、市、县、乡、村多级联动经办服务网络，推动医保服务站点向定点医药机构及基层网点全面覆盖。</w:t>
            </w:r>
          </w:p>
          <w:p>
            <w:pPr>
              <w:spacing w:line="340" w:lineRule="exact"/>
              <w:ind w:firstLine="560" w:firstLineChars="200"/>
              <w:jc w:val="left"/>
              <w:rPr>
                <w:rFonts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sz w:val="28"/>
                <w:szCs w:val="28"/>
                <w:highlight w:val="none"/>
              </w:rPr>
              <w:t>2.聚焦群众异地就医、参保缴费、待遇评定等高频服务需求，深化“湘医保·心服务”惠民举措落地。提升湘医保健康增值服务联盟范围和运行效果。推行“一站式”联办与“免申即办”模式，打造可及性更强、体验感更优的智慧医保服务矩阵，实现便民服务长效化制度化。</w:t>
            </w:r>
          </w:p>
        </w:tc>
      </w:tr>
      <w:bookmarkEnd w:id="27"/>
    </w:tbl>
    <w:p>
      <w:pPr>
        <w:spacing w:line="600" w:lineRule="exact"/>
        <w:ind w:firstLine="640" w:firstLineChars="200"/>
        <w:outlineLvl w:val="1"/>
        <w:rPr>
          <w:rFonts w:ascii="Times New Roman" w:hAnsi="Times New Roman" w:eastAsia="楷体_GB2312" w:cs="Times New Roman"/>
          <w:color w:val="000000"/>
          <w:sz w:val="32"/>
          <w:szCs w:val="32"/>
          <w:highlight w:val="none"/>
        </w:rPr>
      </w:pPr>
      <w:bookmarkStart w:id="30" w:name="_Toc29781"/>
      <w:r>
        <w:rPr>
          <w:rFonts w:hint="default" w:ascii="Times New Roman" w:hAnsi="Times New Roman" w:eastAsia="楷体_GB2312" w:cs="Times New Roman"/>
          <w:color w:val="000000"/>
          <w:sz w:val="32"/>
          <w:szCs w:val="32"/>
          <w:highlight w:val="none"/>
        </w:rPr>
        <w:t>（九）提升医保数智支撑效能</w:t>
      </w:r>
      <w:bookmarkEnd w:id="30"/>
    </w:p>
    <w:p>
      <w:pPr>
        <w:spacing w:line="600" w:lineRule="exact"/>
        <w:ind w:firstLine="643" w:firstLineChars="200"/>
        <w:rPr>
          <w:rFonts w:hint="default" w:ascii="Times New Roman" w:hAnsi="Times New Roman" w:eastAsia="仿宋_GB2312" w:cs="Times New Roman"/>
          <w:b w:val="0"/>
          <w:bCs w:val="0"/>
          <w:color w:val="000000"/>
          <w:kern w:val="0"/>
          <w:sz w:val="32"/>
          <w:szCs w:val="32"/>
          <w:highlight w:val="none"/>
          <w:lang w:eastAsia="zh-CN" w:bidi="ar"/>
        </w:rPr>
      </w:pPr>
      <w:r>
        <w:rPr>
          <w:rFonts w:hint="default" w:ascii="Times New Roman" w:hAnsi="Times New Roman" w:eastAsia="仿宋_GB2312" w:cs="Times New Roman"/>
          <w:b/>
          <w:bCs/>
          <w:color w:val="000000"/>
          <w:kern w:val="0"/>
          <w:sz w:val="32"/>
          <w:szCs w:val="32"/>
          <w:highlight w:val="none"/>
          <w:lang w:bidi="ar"/>
        </w:rPr>
        <w:t>1.完善医保信息平台。</w:t>
      </w:r>
      <w:r>
        <w:rPr>
          <w:rFonts w:hint="default" w:ascii="Times New Roman" w:hAnsi="Times New Roman" w:eastAsia="仿宋_GB2312" w:cs="Times New Roman"/>
          <w:b w:val="0"/>
          <w:bCs w:val="0"/>
          <w:color w:val="000000"/>
          <w:kern w:val="0"/>
          <w:sz w:val="32"/>
          <w:szCs w:val="32"/>
          <w:highlight w:val="none"/>
          <w:lang w:bidi="ar"/>
        </w:rPr>
        <w:t>加快完成省医保信息平台二期项目建设，</w:t>
      </w:r>
      <w:r>
        <w:rPr>
          <w:rFonts w:hint="default" w:ascii="Times New Roman" w:hAnsi="Times New Roman" w:eastAsia="仿宋_GB2312" w:cs="Times New Roman"/>
          <w:b w:val="0"/>
          <w:bCs w:val="0"/>
          <w:color w:val="000000"/>
          <w:kern w:val="0"/>
          <w:sz w:val="32"/>
          <w:szCs w:val="32"/>
          <w:highlight w:val="none"/>
          <w:lang w:eastAsia="zh-CN" w:bidi="ar"/>
        </w:rPr>
        <w:t>完成关键指标体系嵌入及各项指标场景落地应用。在确保数据安全和原始数据不出域的前提下，</w:t>
      </w:r>
      <w:r>
        <w:rPr>
          <w:rFonts w:hint="default" w:ascii="Times New Roman" w:hAnsi="Times New Roman" w:eastAsia="仿宋_GB2312" w:cs="Times New Roman"/>
          <w:b w:val="0"/>
          <w:bCs w:val="0"/>
          <w:color w:val="000000"/>
          <w:kern w:val="0"/>
          <w:sz w:val="32"/>
          <w:szCs w:val="32"/>
          <w:highlight w:val="none"/>
          <w:lang w:bidi="ar"/>
        </w:rPr>
        <w:t>积极参与“三医一张网”建设，</w:t>
      </w:r>
      <w:r>
        <w:rPr>
          <w:rFonts w:hint="default" w:ascii="Times New Roman" w:hAnsi="Times New Roman" w:eastAsia="仿宋_GB2312" w:cs="Times New Roman"/>
          <w:b w:val="0"/>
          <w:bCs w:val="0"/>
          <w:color w:val="000000"/>
          <w:kern w:val="0"/>
          <w:sz w:val="32"/>
          <w:szCs w:val="32"/>
          <w:highlight w:val="none"/>
          <w:lang w:eastAsia="zh-CN" w:bidi="ar"/>
        </w:rPr>
        <w:t>制定</w:t>
      </w:r>
      <w:r>
        <w:rPr>
          <w:rFonts w:hint="default" w:ascii="Times New Roman" w:hAnsi="Times New Roman" w:eastAsia="仿宋_GB2312" w:cs="Times New Roman"/>
          <w:b w:val="0"/>
          <w:bCs w:val="0"/>
          <w:color w:val="000000"/>
          <w:kern w:val="0"/>
          <w:sz w:val="32"/>
          <w:szCs w:val="32"/>
          <w:highlight w:val="none"/>
          <w:lang w:bidi="ar"/>
        </w:rPr>
        <w:t>三医统一的数据标准</w:t>
      </w:r>
      <w:r>
        <w:rPr>
          <w:rFonts w:hint="default" w:ascii="Times New Roman" w:hAnsi="Times New Roman" w:eastAsia="仿宋_GB2312" w:cs="Times New Roman"/>
          <w:b w:val="0"/>
          <w:bCs w:val="0"/>
          <w:color w:val="000000"/>
          <w:kern w:val="0"/>
          <w:sz w:val="32"/>
          <w:szCs w:val="32"/>
          <w:highlight w:val="none"/>
          <w:lang w:eastAsia="zh-CN" w:bidi="ar"/>
        </w:rPr>
        <w:t>与</w:t>
      </w:r>
      <w:r>
        <w:rPr>
          <w:rFonts w:hint="default" w:ascii="Times New Roman" w:hAnsi="Times New Roman" w:eastAsia="仿宋_GB2312" w:cs="Times New Roman"/>
          <w:b w:val="0"/>
          <w:bCs w:val="0"/>
          <w:color w:val="000000"/>
          <w:kern w:val="0"/>
          <w:sz w:val="32"/>
          <w:szCs w:val="32"/>
          <w:highlight w:val="none"/>
          <w:lang w:bidi="ar"/>
        </w:rPr>
        <w:t>质量控制规范，推动</w:t>
      </w:r>
      <w:r>
        <w:rPr>
          <w:rFonts w:hint="default" w:ascii="Times New Roman" w:hAnsi="Times New Roman" w:eastAsia="仿宋_GB2312" w:cs="Times New Roman"/>
          <w:b w:val="0"/>
          <w:bCs w:val="0"/>
          <w:color w:val="000000"/>
          <w:kern w:val="0"/>
          <w:sz w:val="32"/>
          <w:szCs w:val="32"/>
          <w:highlight w:val="none"/>
          <w:lang w:eastAsia="zh-CN" w:bidi="ar"/>
        </w:rPr>
        <w:t>实现</w:t>
      </w:r>
      <w:r>
        <w:rPr>
          <w:rFonts w:hint="default" w:ascii="Times New Roman" w:hAnsi="Times New Roman" w:eastAsia="仿宋_GB2312" w:cs="Times New Roman"/>
          <w:b w:val="0"/>
          <w:bCs w:val="0"/>
          <w:color w:val="000000"/>
          <w:kern w:val="0"/>
          <w:sz w:val="32"/>
          <w:szCs w:val="32"/>
          <w:highlight w:val="none"/>
          <w:lang w:bidi="ar"/>
        </w:rPr>
        <w:t>三医数据互认与</w:t>
      </w:r>
      <w:r>
        <w:rPr>
          <w:rFonts w:hint="default" w:ascii="Times New Roman" w:hAnsi="Times New Roman" w:eastAsia="仿宋_GB2312" w:cs="Times New Roman"/>
          <w:b w:val="0"/>
          <w:bCs w:val="0"/>
          <w:color w:val="000000"/>
          <w:kern w:val="0"/>
          <w:sz w:val="32"/>
          <w:szCs w:val="32"/>
          <w:highlight w:val="none"/>
          <w:lang w:eastAsia="zh-CN" w:bidi="ar"/>
        </w:rPr>
        <w:t>业务</w:t>
      </w:r>
      <w:r>
        <w:rPr>
          <w:rFonts w:hint="default" w:ascii="Times New Roman" w:hAnsi="Times New Roman" w:eastAsia="仿宋_GB2312" w:cs="Times New Roman"/>
          <w:b w:val="0"/>
          <w:bCs w:val="0"/>
          <w:color w:val="000000"/>
          <w:kern w:val="0"/>
          <w:sz w:val="32"/>
          <w:szCs w:val="32"/>
          <w:highlight w:val="none"/>
          <w:lang w:bidi="ar"/>
        </w:rPr>
        <w:t>任务联动。按照国家医保局统一部署，推进医保影像云建设，</w:t>
      </w:r>
      <w:r>
        <w:rPr>
          <w:rFonts w:hint="default" w:ascii="Times New Roman" w:hAnsi="Times New Roman" w:eastAsia="仿宋_GB2312" w:cs="Times New Roman"/>
          <w:b w:val="0"/>
          <w:bCs w:val="0"/>
          <w:color w:val="000000"/>
          <w:kern w:val="0"/>
          <w:sz w:val="32"/>
          <w:szCs w:val="32"/>
          <w:highlight w:val="none"/>
          <w:lang w:eastAsia="zh-CN" w:bidi="ar"/>
        </w:rPr>
        <w:t>开展个人医保云试点工作。</w:t>
      </w:r>
    </w:p>
    <w:p>
      <w:pPr>
        <w:spacing w:line="600" w:lineRule="exact"/>
        <w:ind w:firstLine="643" w:firstLineChars="200"/>
        <w:rPr>
          <w:rFonts w:hint="default" w:ascii="Times New Roman" w:hAnsi="Times New Roman" w:eastAsia="仿宋_GB2312" w:cs="Times New Roman"/>
          <w:b w:val="0"/>
          <w:bCs w:val="0"/>
          <w:color w:val="000000"/>
          <w:kern w:val="0"/>
          <w:sz w:val="32"/>
          <w:szCs w:val="32"/>
          <w:highlight w:val="none"/>
          <w:lang w:bidi="ar"/>
        </w:rPr>
      </w:pPr>
      <w:r>
        <w:rPr>
          <w:rFonts w:hint="default" w:ascii="Times New Roman" w:hAnsi="Times New Roman" w:eastAsia="仿宋_GB2312" w:cs="Times New Roman"/>
          <w:b/>
          <w:bCs/>
          <w:color w:val="000000"/>
          <w:kern w:val="0"/>
          <w:sz w:val="32"/>
          <w:szCs w:val="32"/>
          <w:highlight w:val="none"/>
          <w:lang w:bidi="ar"/>
        </w:rPr>
        <w:t>2.强化标准建设和管理。</w:t>
      </w:r>
      <w:r>
        <w:rPr>
          <w:rFonts w:hint="default" w:ascii="Times New Roman" w:hAnsi="Times New Roman" w:eastAsia="仿宋_GB2312" w:cs="Times New Roman"/>
          <w:b w:val="0"/>
          <w:bCs w:val="0"/>
          <w:color w:val="000000"/>
          <w:kern w:val="0"/>
          <w:sz w:val="32"/>
          <w:szCs w:val="32"/>
          <w:highlight w:val="none"/>
          <w:lang w:bidi="ar"/>
        </w:rPr>
        <w:t>全面落实医疗保障国家标准体系，加强地方标准制修订和推广。依法依规归集整合参保人医保信息数据，提升智慧医保管理水平。</w:t>
      </w:r>
    </w:p>
    <w:p>
      <w:pPr>
        <w:spacing w:line="600" w:lineRule="exact"/>
        <w:ind w:firstLine="643" w:firstLineChars="200"/>
        <w:rPr>
          <w:rFonts w:hint="default" w:ascii="Times New Roman" w:hAnsi="Times New Roman" w:eastAsia="仿宋_GB2312" w:cs="Times New Roman"/>
          <w:b w:val="0"/>
          <w:bCs w:val="0"/>
          <w:color w:val="000000"/>
          <w:kern w:val="0"/>
          <w:sz w:val="32"/>
          <w:szCs w:val="32"/>
          <w:highlight w:val="none"/>
          <w:lang w:bidi="ar"/>
        </w:rPr>
      </w:pPr>
      <w:r>
        <w:rPr>
          <w:rFonts w:hint="default" w:ascii="Times New Roman" w:hAnsi="Times New Roman" w:eastAsia="仿宋_GB2312" w:cs="Times New Roman"/>
          <w:b/>
          <w:bCs/>
          <w:color w:val="000000"/>
          <w:kern w:val="0"/>
          <w:sz w:val="32"/>
          <w:szCs w:val="32"/>
          <w:highlight w:val="none"/>
          <w:lang w:bidi="ar"/>
        </w:rPr>
        <w:t>3.强化医保信息化基础设施和安全保障体系建设。</w:t>
      </w:r>
      <w:r>
        <w:rPr>
          <w:rFonts w:hint="default" w:ascii="Times New Roman" w:hAnsi="Times New Roman" w:eastAsia="仿宋_GB2312" w:cs="Times New Roman"/>
          <w:b w:val="0"/>
          <w:bCs w:val="0"/>
          <w:color w:val="000000"/>
          <w:kern w:val="0"/>
          <w:sz w:val="32"/>
          <w:szCs w:val="32"/>
          <w:highlight w:val="none"/>
          <w:lang w:bidi="ar"/>
        </w:rPr>
        <w:t>落实全省非涉密政务信息系统大运维大安全改革</w:t>
      </w:r>
      <w:r>
        <w:rPr>
          <w:rFonts w:hint="default" w:ascii="Times New Roman" w:hAnsi="Times New Roman" w:eastAsia="仿宋_GB2312" w:cs="Times New Roman"/>
          <w:b w:val="0"/>
          <w:bCs w:val="0"/>
          <w:color w:val="000000"/>
          <w:kern w:val="0"/>
          <w:sz w:val="32"/>
          <w:szCs w:val="32"/>
          <w:highlight w:val="none"/>
          <w:lang w:eastAsia="zh-CN" w:bidi="ar"/>
        </w:rPr>
        <w:t>要求，</w:t>
      </w:r>
      <w:r>
        <w:rPr>
          <w:rFonts w:hint="default" w:ascii="Times New Roman" w:hAnsi="Times New Roman" w:eastAsia="仿宋_GB2312" w:cs="Times New Roman"/>
          <w:b w:val="0"/>
          <w:bCs w:val="0"/>
          <w:color w:val="000000"/>
          <w:kern w:val="0"/>
          <w:sz w:val="32"/>
          <w:szCs w:val="32"/>
          <w:highlight w:val="none"/>
          <w:lang w:bidi="ar"/>
        </w:rPr>
        <w:t>加强运维管理，提升网络安全技术防护水平，打造专业稳定的运维管理团队。在确保数据安全与隐私保护前提下，落实公共数据资源开发利用责任制，深化医保数据资源开发利用，探索医保数据授权运营。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600" w:lineRule="exact"/>
              <w:jc w:val="center"/>
              <w:rPr>
                <w:rFonts w:ascii="Times New Roman" w:hAnsi="Times New Roman" w:eastAsia="仿宋_GB2312" w:cs="Times New Roman"/>
                <w:color w:val="000000"/>
                <w:kern w:val="0"/>
                <w:sz w:val="32"/>
                <w:szCs w:val="32"/>
                <w:highlight w:val="none"/>
                <w:lang w:bidi="ar"/>
              </w:rPr>
            </w:pPr>
            <w:r>
              <w:rPr>
                <w:rFonts w:hint="default" w:ascii="Times New Roman" w:hAnsi="Times New Roman" w:eastAsia="黑体" w:cs="Times New Roman"/>
                <w:color w:val="000000"/>
                <w:kern w:val="0"/>
                <w:sz w:val="28"/>
                <w:szCs w:val="28"/>
                <w:highlight w:val="none"/>
                <w:lang w:bidi="ar"/>
              </w:rPr>
              <w:t>专栏</w:t>
            </w:r>
            <w:r>
              <w:rPr>
                <w:rFonts w:hint="default" w:ascii="Times New Roman" w:hAnsi="Times New Roman" w:eastAsia="黑体" w:cs="Times New Roman"/>
                <w:color w:val="000000"/>
                <w:kern w:val="0"/>
                <w:sz w:val="28"/>
                <w:szCs w:val="28"/>
                <w:highlight w:val="none"/>
                <w:lang w:eastAsia="zh-CN" w:bidi="ar"/>
              </w:rPr>
              <w:t>6</w:t>
            </w:r>
            <w:r>
              <w:rPr>
                <w:rFonts w:hint="default" w:ascii="Times New Roman" w:hAnsi="Times New Roman" w:eastAsia="黑体" w:cs="Times New Roman"/>
                <w:color w:val="000000"/>
                <w:kern w:val="0"/>
                <w:sz w:val="28"/>
                <w:szCs w:val="28"/>
                <w:highlight w:val="none"/>
                <w:lang w:bidi="ar"/>
              </w:rPr>
              <w:t xml:space="preserve">  医保数智赋能攻坚工程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5" w:hRule="atLeast"/>
        </w:trPr>
        <w:tc>
          <w:tcPr>
            <w:tcW w:w="5000" w:type="pct"/>
            <w:tcBorders>
              <w:top w:val="single" w:color="auto" w:sz="4" w:space="0"/>
              <w:left w:val="single" w:color="auto" w:sz="4" w:space="0"/>
              <w:bottom w:val="single" w:color="auto" w:sz="4" w:space="0"/>
              <w:right w:val="single" w:color="auto" w:sz="4" w:space="0"/>
            </w:tcBorders>
            <w:noWrap w:val="0"/>
            <w:vAlign w:val="center"/>
          </w:tcPr>
          <w:p>
            <w:pPr>
              <w:spacing w:line="360" w:lineRule="exact"/>
              <w:ind w:firstLine="560" w:firstLineChars="200"/>
              <w:jc w:val="left"/>
              <w:rPr>
                <w:rFonts w:hint="default"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1.推动数智赋能“三医协同”。围绕“人工智能+医保”场景，加快医学影像、检验检查、诊疗记录、医保结算、药品流通等数据有序汇聚，搭建三医协同治理中台，实现处方流转、药品追溯线上闭环，以数智技术赋能医疗、医保、医药协同普惠服务。</w:t>
            </w:r>
          </w:p>
          <w:p>
            <w:pPr>
              <w:spacing w:line="360" w:lineRule="exact"/>
              <w:ind w:firstLine="560" w:firstLineChars="200"/>
              <w:jc w:val="left"/>
              <w:rPr>
                <w:rFonts w:ascii="Times New Roman" w:hAnsi="Times New Roman" w:eastAsia="仿宋_GB2312" w:cs="Times New Roman"/>
                <w:color w:val="000000"/>
                <w:kern w:val="0"/>
                <w:sz w:val="28"/>
                <w:szCs w:val="28"/>
                <w:highlight w:val="none"/>
                <w:lang w:bidi="ar"/>
              </w:rPr>
            </w:pPr>
            <w:r>
              <w:rPr>
                <w:rFonts w:hint="default" w:ascii="Times New Roman" w:hAnsi="Times New Roman" w:eastAsia="仿宋_GB2312" w:cs="Times New Roman"/>
                <w:color w:val="000000"/>
                <w:kern w:val="0"/>
                <w:sz w:val="28"/>
                <w:szCs w:val="28"/>
                <w:highlight w:val="none"/>
                <w:lang w:bidi="ar"/>
              </w:rPr>
              <w:t>2.建设个人医保云。依托全省医保信息平台，遵循“要素归集、资源整合、智能应用、多方赋能”路径，试点打造个人医保云。整合健康与档案信息，生成个人医保画像，为参保人提供就医引导、慢病管理、掌上经办等智能服务；在合规脱敏前提下，支撑智慧养老、健康保险、医药研发，推动大健康产业协同发展。</w:t>
            </w:r>
          </w:p>
        </w:tc>
      </w:tr>
    </w:tbl>
    <w:p>
      <w:pPr>
        <w:spacing w:line="600" w:lineRule="exact"/>
        <w:ind w:firstLine="640" w:firstLineChars="200"/>
        <w:outlineLvl w:val="0"/>
        <w:rPr>
          <w:rFonts w:ascii="Times New Roman" w:hAnsi="Times New Roman" w:eastAsia="黑体" w:cs="Times New Roman"/>
          <w:color w:val="000000"/>
          <w:sz w:val="32"/>
          <w:szCs w:val="32"/>
          <w:highlight w:val="none"/>
        </w:rPr>
      </w:pPr>
      <w:bookmarkStart w:id="31" w:name="_Toc4116"/>
      <w:r>
        <w:rPr>
          <w:rFonts w:hint="default" w:ascii="Times New Roman" w:hAnsi="Times New Roman" w:eastAsia="黑体" w:cs="Times New Roman"/>
          <w:color w:val="000000"/>
          <w:sz w:val="32"/>
          <w:szCs w:val="32"/>
          <w:highlight w:val="none"/>
        </w:rPr>
        <w:t>三、组织实施</w:t>
      </w:r>
      <w:bookmarkEnd w:id="31"/>
    </w:p>
    <w:p>
      <w:pPr>
        <w:spacing w:line="600" w:lineRule="exact"/>
        <w:ind w:firstLine="640" w:firstLineChars="200"/>
        <w:rPr>
          <w:rFonts w:hint="default" w:ascii="Times New Roman" w:hAnsi="Times New Roman" w:eastAsia="仿宋_GB2312" w:cs="Times New Roman"/>
          <w:b w:val="0"/>
          <w:bCs w:val="0"/>
          <w:color w:val="000000"/>
          <w:kern w:val="0"/>
          <w:sz w:val="32"/>
          <w:szCs w:val="32"/>
          <w:highlight w:val="none"/>
          <w:lang w:eastAsia="zh-CN" w:bidi="ar"/>
        </w:rPr>
      </w:pPr>
      <w:r>
        <w:rPr>
          <w:rFonts w:hint="default" w:ascii="Times New Roman" w:hAnsi="Times New Roman" w:eastAsia="仿宋_GB2312" w:cs="Times New Roman"/>
          <w:b w:val="0"/>
          <w:bCs w:val="0"/>
          <w:color w:val="000000"/>
          <w:kern w:val="0"/>
          <w:sz w:val="32"/>
          <w:szCs w:val="32"/>
          <w:highlight w:val="none"/>
          <w:lang w:bidi="ar"/>
        </w:rPr>
        <w:t>加强组织领导</w:t>
      </w:r>
      <w:r>
        <w:rPr>
          <w:rFonts w:hint="default" w:ascii="Times New Roman" w:hAnsi="Times New Roman" w:eastAsia="仿宋_GB2312" w:cs="Times New Roman"/>
          <w:b w:val="0"/>
          <w:bCs w:val="0"/>
          <w:color w:val="000000"/>
          <w:kern w:val="0"/>
          <w:sz w:val="32"/>
          <w:szCs w:val="32"/>
          <w:highlight w:val="none"/>
          <w:lang w:eastAsia="zh-CN" w:bidi="ar"/>
        </w:rPr>
        <w:t>，</w:t>
      </w:r>
      <w:r>
        <w:rPr>
          <w:rFonts w:hint="default" w:ascii="Times New Roman" w:hAnsi="Times New Roman" w:eastAsia="仿宋_GB2312" w:cs="Times New Roman"/>
          <w:b w:val="0"/>
          <w:bCs w:val="0"/>
          <w:color w:val="000000"/>
          <w:kern w:val="0"/>
          <w:sz w:val="32"/>
          <w:szCs w:val="32"/>
          <w:highlight w:val="none"/>
          <w:lang w:bidi="ar"/>
        </w:rPr>
        <w:t>坚持把党的领导贯穿医疗保障工作各方面全过程，推动形成“党委领导、政府主导、部门联动、社会参与”的工作格局。</w:t>
      </w:r>
      <w:r>
        <w:rPr>
          <w:rFonts w:hint="default" w:ascii="Times New Roman" w:hAnsi="Times New Roman" w:eastAsia="仿宋_GB2312" w:cs="Times New Roman"/>
          <w:b w:val="0"/>
          <w:bCs w:val="0"/>
          <w:color w:val="000000"/>
          <w:kern w:val="0"/>
          <w:sz w:val="32"/>
          <w:szCs w:val="32"/>
          <w:highlight w:val="none"/>
          <w:lang w:eastAsia="zh-CN" w:bidi="ar"/>
        </w:rPr>
        <w:t>强化工作协同，</w:t>
      </w:r>
      <w:r>
        <w:rPr>
          <w:rFonts w:hint="default" w:ascii="Times New Roman" w:hAnsi="Times New Roman" w:eastAsia="仿宋_GB2312" w:cs="Times New Roman"/>
          <w:b w:val="0"/>
          <w:bCs w:val="0"/>
          <w:color w:val="000000"/>
          <w:kern w:val="0"/>
          <w:sz w:val="32"/>
          <w:szCs w:val="32"/>
          <w:highlight w:val="none"/>
          <w:lang w:bidi="ar"/>
        </w:rPr>
        <w:t>积极</w:t>
      </w:r>
      <w:r>
        <w:rPr>
          <w:rFonts w:hint="default" w:ascii="Times New Roman" w:hAnsi="Times New Roman" w:eastAsia="仿宋_GB2312" w:cs="Times New Roman"/>
          <w:b w:val="0"/>
          <w:bCs w:val="0"/>
          <w:color w:val="000000"/>
          <w:kern w:val="0"/>
          <w:sz w:val="32"/>
          <w:szCs w:val="32"/>
          <w:highlight w:val="none"/>
          <w:lang w:eastAsia="zh-CN" w:bidi="ar"/>
        </w:rPr>
        <w:t>推动</w:t>
      </w:r>
      <w:r>
        <w:rPr>
          <w:rFonts w:hint="default" w:ascii="Times New Roman" w:hAnsi="Times New Roman" w:eastAsia="仿宋_GB2312" w:cs="Times New Roman"/>
          <w:b w:val="0"/>
          <w:bCs w:val="0"/>
          <w:color w:val="000000"/>
          <w:kern w:val="0"/>
          <w:sz w:val="32"/>
          <w:szCs w:val="32"/>
          <w:highlight w:val="none"/>
          <w:lang w:bidi="ar"/>
        </w:rPr>
        <w:t>各部门、各地区结合实际抓好规划执行落实，建立健全规划实施监测评估机制，强化评估结果运用，确保本规划与相关规划紧密衔接。</w:t>
      </w:r>
      <w:bookmarkStart w:id="32" w:name="_Toc24436"/>
      <w:r>
        <w:rPr>
          <w:rFonts w:hint="default" w:ascii="Times New Roman" w:hAnsi="Times New Roman" w:eastAsia="仿宋_GB2312" w:cs="Times New Roman"/>
          <w:b w:val="0"/>
          <w:bCs w:val="0"/>
          <w:color w:val="000000"/>
          <w:kern w:val="0"/>
          <w:sz w:val="32"/>
          <w:szCs w:val="32"/>
          <w:highlight w:val="none"/>
          <w:lang w:bidi="ar"/>
        </w:rPr>
        <w:t>筑牢法治</w:t>
      </w:r>
      <w:bookmarkEnd w:id="32"/>
      <w:r>
        <w:rPr>
          <w:rFonts w:hint="default" w:ascii="Times New Roman" w:hAnsi="Times New Roman" w:eastAsia="仿宋_GB2312" w:cs="Times New Roman"/>
          <w:b w:val="0"/>
          <w:bCs w:val="0"/>
          <w:color w:val="000000"/>
          <w:kern w:val="0"/>
          <w:sz w:val="32"/>
          <w:szCs w:val="32"/>
          <w:highlight w:val="none"/>
          <w:lang w:bidi="ar"/>
        </w:rPr>
        <w:t>保障</w:t>
      </w:r>
      <w:r>
        <w:rPr>
          <w:rFonts w:hint="default" w:ascii="Times New Roman" w:hAnsi="Times New Roman" w:eastAsia="仿宋_GB2312" w:cs="Times New Roman"/>
          <w:b w:val="0"/>
          <w:bCs w:val="0"/>
          <w:color w:val="000000"/>
          <w:kern w:val="0"/>
          <w:sz w:val="32"/>
          <w:szCs w:val="32"/>
          <w:highlight w:val="none"/>
          <w:lang w:eastAsia="zh-CN" w:bidi="ar"/>
        </w:rPr>
        <w:t>，</w:t>
      </w:r>
      <w:r>
        <w:rPr>
          <w:rFonts w:hint="default" w:ascii="Times New Roman" w:hAnsi="Times New Roman" w:eastAsia="仿宋_GB2312" w:cs="Times New Roman"/>
          <w:b w:val="0"/>
          <w:bCs w:val="0"/>
          <w:color w:val="000000"/>
          <w:kern w:val="0"/>
          <w:sz w:val="32"/>
          <w:szCs w:val="32"/>
          <w:highlight w:val="none"/>
          <w:lang w:bidi="ar"/>
        </w:rPr>
        <w:t>坚持依靠法治推进规划实施</w:t>
      </w:r>
      <w:r>
        <w:rPr>
          <w:rFonts w:hint="default" w:ascii="Times New Roman" w:hAnsi="Times New Roman" w:eastAsia="仿宋_GB2312" w:cs="Times New Roman"/>
          <w:b w:val="0"/>
          <w:bCs w:val="0"/>
          <w:color w:val="000000"/>
          <w:kern w:val="0"/>
          <w:sz w:val="32"/>
          <w:szCs w:val="32"/>
          <w:highlight w:val="none"/>
          <w:lang w:eastAsia="zh-CN" w:bidi="ar"/>
        </w:rPr>
        <w:t>，</w:t>
      </w:r>
      <w:r>
        <w:rPr>
          <w:rFonts w:hint="default" w:ascii="Times New Roman" w:hAnsi="Times New Roman" w:eastAsia="仿宋_GB2312" w:cs="Times New Roman"/>
          <w:b w:val="0"/>
          <w:bCs w:val="0"/>
          <w:color w:val="000000"/>
          <w:kern w:val="0"/>
          <w:sz w:val="32"/>
          <w:szCs w:val="32"/>
          <w:highlight w:val="none"/>
          <w:lang w:bidi="ar"/>
        </w:rPr>
        <w:t>全面贯彻落实《中华人民共和国医疗保障法》，深入推进医疗保障领域依法行政，落实全省医保“权责清单”，规范重大行政决策程序，严格</w:t>
      </w:r>
      <w:r>
        <w:rPr>
          <w:rFonts w:hint="default" w:ascii="Times New Roman" w:hAnsi="Times New Roman" w:eastAsia="仿宋_GB2312" w:cs="Times New Roman"/>
          <w:b w:val="0"/>
          <w:bCs w:val="0"/>
          <w:color w:val="000000"/>
          <w:kern w:val="0"/>
          <w:sz w:val="32"/>
          <w:szCs w:val="32"/>
          <w:highlight w:val="none"/>
          <w:lang w:eastAsia="zh-CN" w:bidi="ar"/>
        </w:rPr>
        <w:t>推进</w:t>
      </w:r>
      <w:r>
        <w:rPr>
          <w:rFonts w:hint="default" w:ascii="Times New Roman" w:hAnsi="Times New Roman" w:eastAsia="仿宋_GB2312" w:cs="Times New Roman"/>
          <w:b w:val="0"/>
          <w:bCs w:val="0"/>
          <w:color w:val="000000"/>
          <w:kern w:val="0"/>
          <w:sz w:val="32"/>
          <w:szCs w:val="32"/>
          <w:highlight w:val="none"/>
          <w:lang w:bidi="ar"/>
        </w:rPr>
        <w:t>行政执法和监督的规范化管理。</w:t>
      </w:r>
      <w:bookmarkStart w:id="33" w:name="_Toc20975"/>
      <w:r>
        <w:rPr>
          <w:rFonts w:hint="default" w:ascii="Times New Roman" w:hAnsi="Times New Roman" w:eastAsia="仿宋_GB2312" w:cs="Times New Roman"/>
          <w:b w:val="0"/>
          <w:bCs w:val="0"/>
          <w:color w:val="000000"/>
          <w:kern w:val="0"/>
          <w:sz w:val="32"/>
          <w:szCs w:val="32"/>
          <w:highlight w:val="none"/>
          <w:lang w:bidi="ar"/>
        </w:rPr>
        <w:t>强化能力建设</w:t>
      </w:r>
      <w:bookmarkEnd w:id="33"/>
      <w:r>
        <w:rPr>
          <w:rFonts w:hint="default" w:ascii="Times New Roman" w:hAnsi="Times New Roman" w:eastAsia="仿宋_GB2312" w:cs="Times New Roman"/>
          <w:b w:val="0"/>
          <w:bCs w:val="0"/>
          <w:color w:val="000000"/>
          <w:kern w:val="0"/>
          <w:sz w:val="32"/>
          <w:szCs w:val="32"/>
          <w:highlight w:val="none"/>
          <w:lang w:eastAsia="zh-CN" w:bidi="ar"/>
        </w:rPr>
        <w:t>，</w:t>
      </w:r>
      <w:r>
        <w:rPr>
          <w:rFonts w:hint="default" w:ascii="Times New Roman" w:hAnsi="Times New Roman" w:eastAsia="仿宋_GB2312" w:cs="Times New Roman"/>
          <w:b w:val="0"/>
          <w:bCs w:val="0"/>
          <w:color w:val="000000"/>
          <w:kern w:val="0"/>
          <w:sz w:val="32"/>
          <w:szCs w:val="32"/>
          <w:highlight w:val="none"/>
          <w:lang w:bidi="ar"/>
        </w:rPr>
        <w:t>聚力建强忠诚干净担当的高素质专业化医保人才队伍，</w:t>
      </w:r>
      <w:bookmarkStart w:id="34" w:name="_Toc1353"/>
      <w:r>
        <w:rPr>
          <w:rFonts w:hint="default" w:ascii="Times New Roman" w:hAnsi="Times New Roman" w:eastAsia="仿宋_GB2312" w:cs="Times New Roman"/>
          <w:b w:val="0"/>
          <w:bCs w:val="0"/>
          <w:color w:val="000000"/>
          <w:kern w:val="0"/>
          <w:sz w:val="32"/>
          <w:szCs w:val="32"/>
          <w:highlight w:val="none"/>
          <w:lang w:bidi="ar"/>
        </w:rPr>
        <w:t>加大干部教育培训力度，不断优化队伍结构，提升</w:t>
      </w:r>
      <w:r>
        <w:rPr>
          <w:rFonts w:hint="default" w:ascii="Times New Roman" w:hAnsi="Times New Roman" w:eastAsia="仿宋_GB2312" w:cs="Times New Roman"/>
          <w:b w:val="0"/>
          <w:bCs w:val="0"/>
          <w:color w:val="000000"/>
          <w:kern w:val="0"/>
          <w:sz w:val="32"/>
          <w:szCs w:val="32"/>
          <w:highlight w:val="none"/>
          <w:lang w:eastAsia="zh-CN" w:bidi="ar"/>
        </w:rPr>
        <w:t>队伍</w:t>
      </w:r>
      <w:r>
        <w:rPr>
          <w:rFonts w:hint="default" w:ascii="Times New Roman" w:hAnsi="Times New Roman" w:eastAsia="仿宋_GB2312" w:cs="Times New Roman"/>
          <w:b w:val="0"/>
          <w:bCs w:val="0"/>
          <w:color w:val="000000"/>
          <w:kern w:val="0"/>
          <w:sz w:val="32"/>
          <w:szCs w:val="32"/>
          <w:highlight w:val="none"/>
          <w:lang w:bidi="ar"/>
        </w:rPr>
        <w:t>能力素质。做好资金保障。</w:t>
      </w:r>
      <w:bookmarkEnd w:id="34"/>
    </w:p>
    <w:p/>
    <w:sectPr>
      <w:pgSz w:w="11906" w:h="16838"/>
      <w:pgMar w:top="2098" w:right="1417" w:bottom="147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简体">
    <w:altName w:val="微软雅黑"/>
    <w:panose1 w:val="02000000000000000000"/>
    <w:charset w:val="86"/>
    <w:family w:val="script"/>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wNDM5ZDk0NDQzNmRlYzU3YzNlM2RkZWMwOWYwN2EifQ=="/>
  </w:docVars>
  <w:rsids>
    <w:rsidRoot w:val="00000000"/>
    <w:rsid w:val="43056BB7"/>
    <w:rsid w:val="498F4E24"/>
    <w:rsid w:val="6BF74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标准"/>
    <w:basedOn w:val="1"/>
    <w:uiPriority w:val="0"/>
    <w:pPr>
      <w:spacing w:line="560" w:lineRule="exact"/>
      <w:ind w:firstLine="420" w:firstLineChars="200"/>
    </w:pPr>
    <w:rPr>
      <w:rFonts w:hint="eastAsia"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2026-07-14T00:22:00Z</dcterms:created>
  <dc:creator>Administrator</dc:creator>
  <cp:lastModifiedBy>我是蒋振</cp:lastModifiedBy>
  <dcterms:modified xsi:type="dcterms:W3CDTF">2026-10-22T06:52:27Z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DACD602EB88C4DDDB3CCAA6769FAC8EA_12</vt:lpwstr>
  </property>
</Properties>
</file>