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7C71580">
      <w:pPr>
        <w:spacing w:line="356" w:lineRule="auto"/>
        <w:rPr>
          <w:rFonts w:ascii="Arial"/>
          <w:sz w:val="21"/>
        </w:rPr>
      </w:pPr>
    </w:p>
    <w:p w14:paraId="691FBB20">
      <w:pPr>
        <w:spacing w:before="143" w:line="219" w:lineRule="auto"/>
        <w:ind w:left="2051"/>
        <w:outlineLvl w:val="0"/>
        <w:rPr>
          <w:rFonts w:ascii="宋体" w:hAnsi="宋体" w:eastAsia="宋体" w:cs="宋体"/>
          <w:sz w:val="44"/>
          <w:szCs w:val="44"/>
        </w:rPr>
      </w:pPr>
      <w:r>
        <w:rPr>
          <w:rFonts w:ascii="宋体" w:hAnsi="宋体" w:eastAsia="宋体" w:cs="宋体"/>
          <w:b/>
          <w:bCs/>
          <w:spacing w:val="-7"/>
          <w:sz w:val="44"/>
          <w:szCs w:val="44"/>
        </w:rPr>
        <w:t>中华人民共和国医疗器械注册证</w:t>
      </w:r>
    </w:p>
    <w:p w14:paraId="5E6749D8">
      <w:pPr>
        <w:spacing w:line="301" w:lineRule="auto"/>
        <w:rPr>
          <w:rFonts w:ascii="Arial"/>
          <w:sz w:val="21"/>
        </w:rPr>
      </w:pPr>
    </w:p>
    <w:p w14:paraId="116D81EC">
      <w:pPr>
        <w:spacing w:line="302" w:lineRule="auto"/>
        <w:rPr>
          <w:rFonts w:ascii="Arial"/>
          <w:sz w:val="21"/>
        </w:rPr>
      </w:pPr>
    </w:p>
    <w:p w14:paraId="2AEE79D5">
      <w:pPr>
        <w:spacing w:before="78" w:line="189" w:lineRule="auto"/>
        <w:ind w:left="4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注册证编号：国械注准20173130680</w:t>
      </w:r>
    </w:p>
    <w:tbl>
      <w:tblPr>
        <w:tblStyle w:val="4"/>
        <w:tblW w:w="10050" w:type="dxa"/>
        <w:tblInd w:w="5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2433"/>
        <w:gridCol w:w="7617"/>
      </w:tblGrid>
      <w:tr w14:paraId="53D74B0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4" w:hRule="atLeast"/>
        </w:trPr>
        <w:tc>
          <w:tcPr>
            <w:tcW w:w="2433" w:type="dxa"/>
          </w:tcPr>
          <w:p w14:paraId="5FDC6867">
            <w:pPr>
              <w:pStyle w:val="5"/>
              <w:spacing w:before="84" w:line="221" w:lineRule="auto"/>
              <w:ind w:left="509"/>
            </w:pPr>
            <w:r>
              <w:rPr>
                <w:b/>
                <w:bCs/>
                <w:spacing w:val="-5"/>
              </w:rPr>
              <w:t>注册人名称</w:t>
            </w:r>
          </w:p>
        </w:tc>
        <w:tc>
          <w:tcPr>
            <w:tcW w:w="7617" w:type="dxa"/>
          </w:tcPr>
          <w:p w14:paraId="502C5BDA">
            <w:pPr>
              <w:pStyle w:val="5"/>
              <w:spacing w:before="80" w:line="219" w:lineRule="auto"/>
              <w:ind w:left="136"/>
            </w:pPr>
            <w:r>
              <w:rPr>
                <w:b/>
                <w:bCs/>
                <w:spacing w:val="-1"/>
              </w:rPr>
              <w:t>杭州启明医疗器械股份有限公司</w:t>
            </w:r>
          </w:p>
        </w:tc>
      </w:tr>
      <w:tr w14:paraId="40E431D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0" w:hRule="atLeast"/>
        </w:trPr>
        <w:tc>
          <w:tcPr>
            <w:tcW w:w="2433" w:type="dxa"/>
          </w:tcPr>
          <w:p w14:paraId="5D14FE6B">
            <w:pPr>
              <w:pStyle w:val="5"/>
              <w:spacing w:before="89" w:line="220" w:lineRule="auto"/>
              <w:ind w:left="509"/>
            </w:pPr>
            <w:r>
              <w:rPr>
                <w:b/>
                <w:bCs/>
                <w:spacing w:val="-5"/>
              </w:rPr>
              <w:t>注册人住所</w:t>
            </w:r>
          </w:p>
        </w:tc>
        <w:tc>
          <w:tcPr>
            <w:tcW w:w="7617" w:type="dxa"/>
          </w:tcPr>
          <w:p w14:paraId="5FDB593C">
            <w:pPr>
              <w:pStyle w:val="5"/>
              <w:spacing w:before="90" w:line="219" w:lineRule="auto"/>
              <w:ind w:left="132"/>
            </w:pPr>
            <w:r>
              <w:drawing>
                <wp:anchor distT="0" distB="0" distL="0" distR="0" simplePos="0" relativeHeight="251659264" behindDoc="0" locked="0" layoutInCell="1" allowOverlap="1">
                  <wp:simplePos x="0" y="0"/>
                  <wp:positionH relativeFrom="column">
                    <wp:posOffset>2890520</wp:posOffset>
                  </wp:positionH>
                  <wp:positionV relativeFrom="paragraph">
                    <wp:posOffset>-697865</wp:posOffset>
                  </wp:positionV>
                  <wp:extent cx="1555750" cy="1536700"/>
                  <wp:effectExtent l="0" t="0" r="0" b="0"/>
                  <wp:wrapNone/>
                  <wp:docPr id="1026" name="IM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IM 2"/>
                          <pic:cNvPicPr/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5732" cy="15367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t>浙江省杭州市滨江区江陵路88号2幢3楼311室</w:t>
            </w:r>
          </w:p>
        </w:tc>
      </w:tr>
      <w:tr w14:paraId="0645D41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9" w:hRule="atLeast"/>
        </w:trPr>
        <w:tc>
          <w:tcPr>
            <w:tcW w:w="2433" w:type="dxa"/>
          </w:tcPr>
          <w:p w14:paraId="2D94E3E6">
            <w:pPr>
              <w:pStyle w:val="5"/>
              <w:spacing w:before="78" w:line="219" w:lineRule="auto"/>
              <w:ind w:left="648"/>
            </w:pPr>
            <w:r>
              <w:rPr>
                <w:b/>
                <w:bCs/>
                <w:spacing w:val="-6"/>
              </w:rPr>
              <w:t>生产地址</w:t>
            </w:r>
          </w:p>
        </w:tc>
        <w:tc>
          <w:tcPr>
            <w:tcW w:w="7617" w:type="dxa"/>
          </w:tcPr>
          <w:p w14:paraId="2011DAEF">
            <w:pPr>
              <w:pStyle w:val="5"/>
              <w:spacing w:before="80" w:line="219" w:lineRule="auto"/>
              <w:ind w:left="152"/>
            </w:pPr>
            <w:r>
              <w:t>浙江省杭州市滨江区江陵路88号2幢2楼B区、3楼311室</w:t>
            </w:r>
          </w:p>
        </w:tc>
      </w:tr>
      <w:tr w14:paraId="08323FD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0" w:hRule="atLeast"/>
        </w:trPr>
        <w:tc>
          <w:tcPr>
            <w:tcW w:w="2433" w:type="dxa"/>
          </w:tcPr>
          <w:p w14:paraId="41663DB7">
            <w:pPr>
              <w:pStyle w:val="5"/>
              <w:spacing w:before="79" w:line="219" w:lineRule="auto"/>
              <w:ind w:left="509"/>
            </w:pPr>
            <w:r>
              <w:rPr>
                <w:b/>
                <w:bCs/>
                <w:spacing w:val="-5"/>
              </w:rPr>
              <w:t>代理人名称</w:t>
            </w:r>
          </w:p>
        </w:tc>
        <w:tc>
          <w:tcPr>
            <w:tcW w:w="7617" w:type="dxa"/>
          </w:tcPr>
          <w:p w14:paraId="758E4248">
            <w:pPr>
              <w:pStyle w:val="5"/>
              <w:spacing w:before="90" w:line="224" w:lineRule="auto"/>
              <w:ind w:left="142"/>
            </w:pPr>
            <w:r>
              <w:t>/</w:t>
            </w:r>
          </w:p>
        </w:tc>
      </w:tr>
      <w:tr w14:paraId="2613DFB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9" w:hRule="atLeast"/>
        </w:trPr>
        <w:tc>
          <w:tcPr>
            <w:tcW w:w="2433" w:type="dxa"/>
          </w:tcPr>
          <w:p w14:paraId="6B5E4E3E">
            <w:pPr>
              <w:pStyle w:val="5"/>
              <w:spacing w:before="79" w:line="219" w:lineRule="auto"/>
              <w:ind w:left="509"/>
            </w:pPr>
            <w:r>
              <w:rPr>
                <w:b/>
                <w:bCs/>
                <w:spacing w:val="-5"/>
              </w:rPr>
              <w:t>代理人住所</w:t>
            </w:r>
          </w:p>
        </w:tc>
        <w:tc>
          <w:tcPr>
            <w:tcW w:w="7617" w:type="dxa"/>
          </w:tcPr>
          <w:p w14:paraId="5FD232C4">
            <w:pPr>
              <w:pStyle w:val="5"/>
              <w:spacing w:before="91" w:line="216" w:lineRule="auto"/>
              <w:ind w:left="132"/>
            </w:pPr>
            <w:r>
              <w:t>/</w:t>
            </w:r>
          </w:p>
        </w:tc>
      </w:tr>
      <w:tr w14:paraId="648D81F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0" w:hRule="atLeast"/>
        </w:trPr>
        <w:tc>
          <w:tcPr>
            <w:tcW w:w="2433" w:type="dxa"/>
          </w:tcPr>
          <w:p w14:paraId="2E3D41E2">
            <w:pPr>
              <w:pStyle w:val="5"/>
              <w:spacing w:before="80" w:line="219" w:lineRule="auto"/>
              <w:ind w:left="449"/>
            </w:pPr>
            <w:r>
              <w:rPr>
                <w:b/>
                <w:bCs/>
                <w:spacing w:val="-18"/>
              </w:rPr>
              <w:t>产</w:t>
            </w:r>
            <w:r>
              <w:rPr>
                <w:spacing w:val="33"/>
              </w:rPr>
              <w:t xml:space="preserve"> </w:t>
            </w:r>
            <w:r>
              <w:rPr>
                <w:b/>
                <w:bCs/>
                <w:spacing w:val="-18"/>
              </w:rPr>
              <w:t>品</w:t>
            </w:r>
            <w:r>
              <w:rPr>
                <w:spacing w:val="13"/>
              </w:rPr>
              <w:t xml:space="preserve"> </w:t>
            </w:r>
            <w:r>
              <w:rPr>
                <w:b/>
                <w:bCs/>
                <w:spacing w:val="-18"/>
              </w:rPr>
              <w:t>名</w:t>
            </w:r>
            <w:r>
              <w:rPr>
                <w:spacing w:val="9"/>
              </w:rPr>
              <w:t xml:space="preserve"> </w:t>
            </w:r>
            <w:r>
              <w:rPr>
                <w:b/>
                <w:bCs/>
                <w:spacing w:val="-18"/>
              </w:rPr>
              <w:t>称</w:t>
            </w:r>
          </w:p>
        </w:tc>
        <w:tc>
          <w:tcPr>
            <w:tcW w:w="7617" w:type="dxa"/>
          </w:tcPr>
          <w:p w14:paraId="5583EDA5">
            <w:pPr>
              <w:pStyle w:val="5"/>
              <w:spacing w:before="84" w:line="219" w:lineRule="auto"/>
              <w:ind w:left="162"/>
            </w:pPr>
            <w:r>
              <w:t>经导管人工主动脉瓣膜置换系统</w:t>
            </w:r>
          </w:p>
        </w:tc>
      </w:tr>
      <w:tr w14:paraId="4885911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9" w:hRule="atLeast"/>
        </w:trPr>
        <w:tc>
          <w:tcPr>
            <w:tcW w:w="2433" w:type="dxa"/>
          </w:tcPr>
          <w:p w14:paraId="76C8BECD">
            <w:pPr>
              <w:pStyle w:val="5"/>
              <w:spacing w:before="290" w:line="219" w:lineRule="auto"/>
              <w:ind w:left="509"/>
            </w:pPr>
            <w:r>
              <w:rPr>
                <w:b/>
                <w:bCs/>
                <w:spacing w:val="-3"/>
              </w:rPr>
              <w:t>型号、规格</w:t>
            </w:r>
          </w:p>
        </w:tc>
        <w:tc>
          <w:tcPr>
            <w:tcW w:w="7617" w:type="dxa"/>
          </w:tcPr>
          <w:p w14:paraId="4289FCD2">
            <w:pPr>
              <w:pStyle w:val="5"/>
              <w:spacing w:before="9" w:line="188" w:lineRule="auto"/>
              <w:ind w:left="152" w:right="735"/>
            </w:pPr>
            <w:r>
              <w:t>瓣膜型号规格：L23,L26,L29,L32;输送系统型号规</w:t>
            </w:r>
            <w:r>
              <w:rPr>
                <w:spacing w:val="-1"/>
              </w:rPr>
              <w:t>格：</w:t>
            </w:r>
            <w:r>
              <w:t xml:space="preserve"> DS18-A55,DS19-A58,DS19-A62;可回收</w:t>
            </w:r>
            <w:r>
              <w:rPr>
                <w:spacing w:val="-1"/>
              </w:rPr>
              <w:t>输送系统型号规</w:t>
            </w:r>
          </w:p>
          <w:p w14:paraId="38B19277">
            <w:pPr>
              <w:pStyle w:val="5"/>
              <w:spacing w:before="1" w:line="170" w:lineRule="auto"/>
              <w:ind w:left="162"/>
            </w:pPr>
            <w:r>
              <w:rPr>
                <w:spacing w:val="-2"/>
              </w:rPr>
              <w:t>格：RDS</w:t>
            </w:r>
            <w:r>
              <w:rPr>
                <w:spacing w:val="34"/>
              </w:rPr>
              <w:t xml:space="preserve"> </w:t>
            </w:r>
            <w:r>
              <w:rPr>
                <w:spacing w:val="-2"/>
              </w:rPr>
              <w:t>18Fr-L1,RDS</w:t>
            </w:r>
            <w:r>
              <w:rPr>
                <w:spacing w:val="35"/>
              </w:rPr>
              <w:t xml:space="preserve"> </w:t>
            </w:r>
            <w:r>
              <w:rPr>
                <w:spacing w:val="-2"/>
              </w:rPr>
              <w:t>19F</w:t>
            </w:r>
            <w:r>
              <w:rPr>
                <w:spacing w:val="-3"/>
              </w:rPr>
              <w:t>r-L1,RDS</w:t>
            </w:r>
            <w:r>
              <w:rPr>
                <w:spacing w:val="34"/>
              </w:rPr>
              <w:t xml:space="preserve"> </w:t>
            </w:r>
            <w:r>
              <w:rPr>
                <w:spacing w:val="-3"/>
              </w:rPr>
              <w:t>19Fr-L2。</w:t>
            </w:r>
          </w:p>
        </w:tc>
      </w:tr>
      <w:tr w14:paraId="1047746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89" w:hRule="atLeast"/>
        </w:trPr>
        <w:tc>
          <w:tcPr>
            <w:tcW w:w="2433" w:type="dxa"/>
          </w:tcPr>
          <w:p w14:paraId="31F57878">
            <w:pPr>
              <w:spacing w:line="468" w:lineRule="auto"/>
              <w:rPr>
                <w:rFonts w:ascii="Arial"/>
                <w:sz w:val="21"/>
              </w:rPr>
            </w:pPr>
          </w:p>
          <w:p w14:paraId="1723F88A">
            <w:pPr>
              <w:pStyle w:val="5"/>
              <w:spacing w:before="91" w:line="220" w:lineRule="auto"/>
              <w:ind w:left="509"/>
            </w:pPr>
            <w:r>
              <w:rPr>
                <w:b/>
                <w:bCs/>
                <w:spacing w:val="-2"/>
              </w:rPr>
              <w:t>结构及组成</w:t>
            </w:r>
          </w:p>
        </w:tc>
        <w:tc>
          <w:tcPr>
            <w:tcW w:w="7617" w:type="dxa"/>
          </w:tcPr>
          <w:p w14:paraId="518DEB2A">
            <w:pPr>
              <w:pStyle w:val="5"/>
              <w:spacing w:before="26" w:line="185" w:lineRule="auto"/>
              <w:ind w:left="152" w:right="136" w:firstLine="19"/>
              <w:rPr>
                <w:sz w:val="26"/>
                <w:szCs w:val="26"/>
              </w:rPr>
            </w:pPr>
            <w:r>
              <w:t>该产品由主动脉瓣膜、输送系统组成，输送系统包括输送导</w:t>
            </w:r>
            <w:r>
              <w:rPr>
                <w:spacing w:val="17"/>
              </w:rPr>
              <w:t xml:space="preserve"> </w:t>
            </w:r>
            <w:r>
              <w:rPr>
                <w:spacing w:val="11"/>
                <w:sz w:val="27"/>
                <w:szCs w:val="27"/>
              </w:rPr>
              <w:t>管系统和压缩装载系统。主动脉瓣膜由镍钛合金瓣架、金标</w:t>
            </w:r>
            <w:r>
              <w:rPr>
                <w:spacing w:val="3"/>
                <w:sz w:val="27"/>
                <w:szCs w:val="27"/>
              </w:rPr>
              <w:t xml:space="preserve"> </w:t>
            </w:r>
            <w:r>
              <w:rPr>
                <w:spacing w:val="11"/>
                <w:sz w:val="27"/>
                <w:szCs w:val="27"/>
              </w:rPr>
              <w:t>记点、缝线及猪心包制成的三叶式瓣叶和裙体组成。瓣膜化</w:t>
            </w:r>
            <w:r>
              <w:rPr>
                <w:spacing w:val="4"/>
                <w:sz w:val="27"/>
                <w:szCs w:val="27"/>
              </w:rPr>
              <w:t xml:space="preserve"> </w:t>
            </w:r>
            <w:r>
              <w:rPr>
                <w:spacing w:val="9"/>
                <w:sz w:val="27"/>
                <w:szCs w:val="27"/>
              </w:rPr>
              <w:t>学液体灭菌，在0-10℃(不包含0℃)条件下储存和运输。输</w:t>
            </w:r>
            <w:r>
              <w:rPr>
                <w:spacing w:val="6"/>
                <w:sz w:val="27"/>
                <w:szCs w:val="27"/>
              </w:rPr>
              <w:t xml:space="preserve">  </w:t>
            </w:r>
            <w:r>
              <w:rPr>
                <w:spacing w:val="9"/>
                <w:sz w:val="26"/>
                <w:szCs w:val="26"/>
              </w:rPr>
              <w:t>送系统环氧乙烷灭菌。货架有效期2年。</w:t>
            </w:r>
          </w:p>
        </w:tc>
      </w:tr>
      <w:tr w14:paraId="332C8A5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17" w:hRule="atLeast"/>
        </w:trPr>
        <w:tc>
          <w:tcPr>
            <w:tcW w:w="2433" w:type="dxa"/>
          </w:tcPr>
          <w:p w14:paraId="2B0F128E">
            <w:pPr>
              <w:spacing w:line="264" w:lineRule="auto"/>
              <w:rPr>
                <w:rFonts w:ascii="Arial"/>
                <w:sz w:val="21"/>
              </w:rPr>
            </w:pPr>
          </w:p>
          <w:p w14:paraId="7D998E3A">
            <w:pPr>
              <w:spacing w:line="265" w:lineRule="auto"/>
              <w:rPr>
                <w:rFonts w:ascii="Arial"/>
                <w:sz w:val="21"/>
              </w:rPr>
            </w:pPr>
          </w:p>
          <w:p w14:paraId="45B5BD95">
            <w:pPr>
              <w:spacing w:line="265" w:lineRule="auto"/>
              <w:rPr>
                <w:rFonts w:ascii="Arial"/>
                <w:sz w:val="21"/>
              </w:rPr>
            </w:pPr>
          </w:p>
          <w:p w14:paraId="725CBD73">
            <w:pPr>
              <w:spacing w:line="265" w:lineRule="auto"/>
              <w:rPr>
                <w:rFonts w:ascii="Arial"/>
                <w:sz w:val="21"/>
              </w:rPr>
            </w:pPr>
          </w:p>
          <w:p w14:paraId="00813421">
            <w:pPr>
              <w:spacing w:line="265" w:lineRule="auto"/>
              <w:rPr>
                <w:rFonts w:ascii="Arial"/>
                <w:sz w:val="21"/>
              </w:rPr>
            </w:pPr>
          </w:p>
          <w:p w14:paraId="073683B8">
            <w:pPr>
              <w:pStyle w:val="5"/>
              <w:spacing w:before="91" w:line="220" w:lineRule="auto"/>
              <w:ind w:left="459"/>
            </w:pPr>
            <w:r>
              <w:rPr>
                <w:b/>
                <w:bCs/>
                <w:spacing w:val="-14"/>
              </w:rPr>
              <w:t>适</w:t>
            </w:r>
            <w:r>
              <w:rPr>
                <w:spacing w:val="11"/>
              </w:rPr>
              <w:t xml:space="preserve"> </w:t>
            </w:r>
            <w:r>
              <w:rPr>
                <w:b/>
                <w:bCs/>
                <w:spacing w:val="-14"/>
              </w:rPr>
              <w:t>用</w:t>
            </w:r>
            <w:r>
              <w:rPr>
                <w:spacing w:val="14"/>
              </w:rPr>
              <w:t xml:space="preserve"> </w:t>
            </w:r>
            <w:r>
              <w:rPr>
                <w:b/>
                <w:bCs/>
                <w:spacing w:val="-14"/>
              </w:rPr>
              <w:t>范</w:t>
            </w:r>
            <w:r>
              <w:rPr>
                <w:spacing w:val="32"/>
              </w:rPr>
              <w:t xml:space="preserve"> </w:t>
            </w:r>
            <w:r>
              <w:rPr>
                <w:b/>
                <w:bCs/>
                <w:spacing w:val="-14"/>
              </w:rPr>
              <w:t>围</w:t>
            </w:r>
          </w:p>
        </w:tc>
        <w:tc>
          <w:tcPr>
            <w:tcW w:w="7617" w:type="dxa"/>
          </w:tcPr>
          <w:p w14:paraId="3B516DFE">
            <w:pPr>
              <w:pStyle w:val="5"/>
              <w:spacing w:before="14" w:line="191" w:lineRule="auto"/>
              <w:ind w:left="142" w:right="140" w:firstLine="29"/>
              <w:rPr>
                <w:sz w:val="27"/>
                <w:szCs w:val="27"/>
              </w:rPr>
            </w:pPr>
            <w:r>
              <w:t>该产品适用于经心脏团队结合评分系统评估后认为患有有症</w:t>
            </w:r>
            <w:r>
              <w:rPr>
                <w:spacing w:val="13"/>
              </w:rPr>
              <w:t xml:space="preserve"> </w:t>
            </w:r>
            <w:r>
              <w:rPr>
                <w:spacing w:val="11"/>
                <w:sz w:val="27"/>
                <w:szCs w:val="27"/>
              </w:rPr>
              <w:t>状的、钙化的、重度主动脉瓣狭窄，不适合接</w:t>
            </w:r>
            <w:r>
              <w:rPr>
                <w:spacing w:val="10"/>
                <w:sz w:val="27"/>
                <w:szCs w:val="27"/>
              </w:rPr>
              <w:t>受常规外科手</w:t>
            </w:r>
            <w:r>
              <w:rPr>
                <w:sz w:val="27"/>
                <w:szCs w:val="27"/>
              </w:rPr>
              <w:t xml:space="preserve"> </w:t>
            </w:r>
            <w:r>
              <w:rPr>
                <w:spacing w:val="10"/>
                <w:sz w:val="27"/>
                <w:szCs w:val="27"/>
              </w:rPr>
              <w:t>术置换瓣膜的患者。适用于满足以下全部条件的患者：①</w:t>
            </w:r>
          </w:p>
          <w:p w14:paraId="7124F4DB">
            <w:pPr>
              <w:pStyle w:val="5"/>
              <w:spacing w:before="5" w:line="189" w:lineRule="auto"/>
              <w:ind w:left="132" w:right="285" w:firstLine="29"/>
            </w:pPr>
            <w:r>
              <w:t>年龄应不低于70岁；②退行性自体主动脉瓣狭窄病变；③</w:t>
            </w:r>
            <w:r>
              <w:rPr>
                <w:spacing w:val="4"/>
              </w:rPr>
              <w:t xml:space="preserve">  </w:t>
            </w:r>
            <w:r>
              <w:rPr>
                <w:spacing w:val="2"/>
              </w:rPr>
              <w:t>具有主动脉瓣膜狭窄症状(</w:t>
            </w:r>
            <w:r>
              <w:t>NYHA</w:t>
            </w:r>
            <w:r>
              <w:rPr>
                <w:spacing w:val="2"/>
              </w:rPr>
              <w:t>功能Ⅱ级或Ⅱ级以上，主动</w:t>
            </w:r>
            <w:r>
              <w:t xml:space="preserve"> </w:t>
            </w:r>
            <w:r>
              <w:rPr>
                <w:spacing w:val="6"/>
              </w:rPr>
              <w:t>脉瓣口面积&lt;0.8</w:t>
            </w:r>
            <w:r>
              <w:t>cm</w:t>
            </w:r>
            <w:r>
              <w:rPr>
                <w:spacing w:val="6"/>
              </w:rPr>
              <w:t>²,平均跨主动脉瓣压差≥40</w:t>
            </w:r>
            <w:r>
              <w:t>mmHg</w:t>
            </w:r>
            <w:r>
              <w:rPr>
                <w:spacing w:val="6"/>
              </w:rPr>
              <w:t>或主动</w:t>
            </w:r>
            <w:r>
              <w:rPr>
                <w:spacing w:val="2"/>
              </w:rPr>
              <w:t xml:space="preserve"> </w:t>
            </w:r>
            <w:r>
              <w:rPr>
                <w:spacing w:val="1"/>
              </w:rPr>
              <w:t>脉峰值流速≥4.0m/s);④不适合外科手术治疗(预估外</w:t>
            </w:r>
          </w:p>
          <w:p w14:paraId="41777928">
            <w:pPr>
              <w:pStyle w:val="5"/>
              <w:spacing w:before="2" w:line="186" w:lineRule="auto"/>
              <w:ind w:left="141" w:right="184" w:hanging="9"/>
            </w:pPr>
            <w:r>
              <w:t>科手术导致的30天死亡风险或严重、不可逆转的并发症超过</w:t>
            </w:r>
            <w:r>
              <w:rPr>
                <w:spacing w:val="9"/>
              </w:rPr>
              <w:t xml:space="preserve"> </w:t>
            </w:r>
            <w:r>
              <w:rPr>
                <w:spacing w:val="5"/>
              </w:rPr>
              <w:t>50%);⑤手术入路血管无严重扭曲，输送鞘管能通过；</w:t>
            </w:r>
          </w:p>
          <w:p w14:paraId="200BF1AB">
            <w:pPr>
              <w:pStyle w:val="5"/>
              <w:spacing w:line="176" w:lineRule="auto"/>
              <w:ind w:left="132" w:right="448" w:firstLine="9"/>
              <w:rPr>
                <w:sz w:val="27"/>
                <w:szCs w:val="27"/>
              </w:rPr>
            </w:pPr>
            <w:r>
              <w:t>⑥主动脉瓣环直径范围在17-29mm,冠状动脉开口下缘距离</w:t>
            </w:r>
            <w:r>
              <w:rPr>
                <w:spacing w:val="15"/>
              </w:rPr>
              <w:t xml:space="preserve"> </w:t>
            </w:r>
            <w:r>
              <w:rPr>
                <w:spacing w:val="-1"/>
                <w:sz w:val="27"/>
                <w:szCs w:val="27"/>
              </w:rPr>
              <w:t>瓣环大于10mm。</w:t>
            </w:r>
          </w:p>
        </w:tc>
      </w:tr>
      <w:tr w14:paraId="2BFFB85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0" w:hRule="atLeast"/>
        </w:trPr>
        <w:tc>
          <w:tcPr>
            <w:tcW w:w="2433" w:type="dxa"/>
          </w:tcPr>
          <w:p w14:paraId="23259F25">
            <w:pPr>
              <w:pStyle w:val="5"/>
              <w:spacing w:before="83" w:line="219" w:lineRule="auto"/>
              <w:ind w:left="489"/>
            </w:pPr>
            <w:r>
              <w:rPr>
                <w:b/>
                <w:bCs/>
                <w:spacing w:val="-11"/>
              </w:rPr>
              <w:t>附</w:t>
            </w:r>
            <w:r>
              <w:rPr>
                <w:spacing w:val="-11"/>
              </w:rPr>
              <w:t xml:space="preserve">       </w:t>
            </w:r>
            <w:r>
              <w:rPr>
                <w:b/>
                <w:bCs/>
                <w:spacing w:val="-11"/>
              </w:rPr>
              <w:t>件</w:t>
            </w:r>
          </w:p>
        </w:tc>
        <w:tc>
          <w:tcPr>
            <w:tcW w:w="7617" w:type="dxa"/>
          </w:tcPr>
          <w:p w14:paraId="53E81D5B">
            <w:pPr>
              <w:pStyle w:val="5"/>
              <w:spacing w:before="89" w:line="219" w:lineRule="auto"/>
              <w:ind w:left="132"/>
            </w:pPr>
            <w:r>
              <w:rPr>
                <w:spacing w:val="2"/>
              </w:rPr>
              <w:t>产品技术要求</w:t>
            </w:r>
          </w:p>
        </w:tc>
      </w:tr>
      <w:tr w14:paraId="6637B61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9" w:hRule="atLeast"/>
        </w:trPr>
        <w:tc>
          <w:tcPr>
            <w:tcW w:w="2433" w:type="dxa"/>
          </w:tcPr>
          <w:p w14:paraId="2F7A7834">
            <w:pPr>
              <w:pStyle w:val="5"/>
              <w:spacing w:before="85" w:line="219" w:lineRule="auto"/>
              <w:ind w:left="459"/>
            </w:pPr>
            <w:r>
              <w:rPr>
                <w:b/>
                <w:bCs/>
                <w:spacing w:val="-20"/>
              </w:rPr>
              <w:t>其</w:t>
            </w:r>
            <w:r>
              <w:rPr>
                <w:spacing w:val="3"/>
              </w:rPr>
              <w:t xml:space="preserve"> </w:t>
            </w:r>
            <w:r>
              <w:rPr>
                <w:b/>
                <w:bCs/>
                <w:spacing w:val="-20"/>
              </w:rPr>
              <w:t>他</w:t>
            </w:r>
            <w:r>
              <w:rPr>
                <w:spacing w:val="37"/>
              </w:rPr>
              <w:t xml:space="preserve"> </w:t>
            </w:r>
            <w:r>
              <w:rPr>
                <w:b/>
                <w:bCs/>
                <w:spacing w:val="-20"/>
              </w:rPr>
              <w:t>内</w:t>
            </w:r>
            <w:r>
              <w:rPr>
                <w:spacing w:val="7"/>
              </w:rPr>
              <w:t xml:space="preserve"> </w:t>
            </w:r>
            <w:r>
              <w:rPr>
                <w:b/>
                <w:bCs/>
                <w:spacing w:val="-20"/>
              </w:rPr>
              <w:t>容</w:t>
            </w:r>
          </w:p>
        </w:tc>
        <w:tc>
          <w:tcPr>
            <w:tcW w:w="7617" w:type="dxa"/>
          </w:tcPr>
          <w:p w14:paraId="6D11127F">
            <w:pPr>
              <w:pStyle w:val="5"/>
              <w:spacing w:before="97" w:line="212" w:lineRule="auto"/>
              <w:ind w:left="132"/>
            </w:pPr>
            <w:r>
              <w:t>/</w:t>
            </w:r>
          </w:p>
        </w:tc>
      </w:tr>
      <w:tr w14:paraId="031D270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123" w:hRule="atLeast"/>
        </w:trPr>
        <w:tc>
          <w:tcPr>
            <w:tcW w:w="2433" w:type="dxa"/>
          </w:tcPr>
          <w:p w14:paraId="25A31D5D">
            <w:pPr>
              <w:spacing w:line="277" w:lineRule="auto"/>
              <w:rPr>
                <w:rFonts w:ascii="Arial"/>
                <w:sz w:val="21"/>
              </w:rPr>
            </w:pPr>
          </w:p>
          <w:p w14:paraId="716AFC00">
            <w:pPr>
              <w:spacing w:line="277" w:lineRule="auto"/>
              <w:rPr>
                <w:rFonts w:ascii="Arial"/>
                <w:sz w:val="21"/>
              </w:rPr>
            </w:pPr>
          </w:p>
          <w:p w14:paraId="0D79F52A">
            <w:pPr>
              <w:spacing w:line="277" w:lineRule="auto"/>
              <w:rPr>
                <w:rFonts w:ascii="Arial"/>
                <w:sz w:val="21"/>
              </w:rPr>
            </w:pPr>
          </w:p>
          <w:p w14:paraId="290BBB5B">
            <w:pPr>
              <w:pStyle w:val="5"/>
              <w:spacing w:before="91" w:line="221" w:lineRule="auto"/>
              <w:ind w:left="479"/>
            </w:pPr>
            <w:r>
              <w:rPr>
                <w:b/>
                <w:bCs/>
                <w:spacing w:val="-11"/>
              </w:rPr>
              <w:t>备</w:t>
            </w:r>
            <w:r>
              <w:rPr>
                <w:spacing w:val="15"/>
              </w:rPr>
              <w:t xml:space="preserve">      </w:t>
            </w:r>
            <w:r>
              <w:rPr>
                <w:b/>
                <w:bCs/>
                <w:spacing w:val="-11"/>
              </w:rPr>
              <w:t>注</w:t>
            </w:r>
          </w:p>
        </w:tc>
        <w:tc>
          <w:tcPr>
            <w:tcW w:w="7617" w:type="dxa"/>
          </w:tcPr>
          <w:p w14:paraId="1433414A">
            <w:pPr>
              <w:pStyle w:val="5"/>
              <w:spacing w:before="21" w:line="191" w:lineRule="auto"/>
              <w:ind w:left="142" w:firstLine="9"/>
              <w:jc w:val="both"/>
            </w:pPr>
            <w:r>
              <w:rPr>
                <w:spacing w:val="-4"/>
              </w:rPr>
              <w:t>对植入该人工心脏瓣膜产品的患者进行长期跟踪随访。随访内</w:t>
            </w:r>
            <w:r>
              <w:rPr>
                <w:spacing w:val="2"/>
              </w:rPr>
              <w:t xml:space="preserve"> </w:t>
            </w:r>
            <w:r>
              <w:rPr>
                <w:spacing w:val="-5"/>
              </w:rPr>
              <w:t>容应包括但不限于：瓣膜失功情况，因瓣膜问题导致的再手术</w:t>
            </w:r>
            <w:r>
              <w:rPr>
                <w:spacing w:val="14"/>
              </w:rPr>
              <w:t xml:space="preserve"> </w:t>
            </w:r>
            <w:r>
              <w:rPr>
                <w:spacing w:val="-5"/>
              </w:rPr>
              <w:t>情况，与瓣膜相关的死亡、出血及栓塞事件发生情况，定期形</w:t>
            </w:r>
            <w:r>
              <w:rPr>
                <w:spacing w:val="14"/>
              </w:rPr>
              <w:t xml:space="preserve"> </w:t>
            </w:r>
            <w:r>
              <w:rPr>
                <w:spacing w:val="-5"/>
              </w:rPr>
              <w:t>成临床随访报告和随访数据统计分析报告，并在延续注册时一</w:t>
            </w:r>
            <w:r>
              <w:rPr>
                <w:spacing w:val="16"/>
              </w:rPr>
              <w:t xml:space="preserve"> </w:t>
            </w:r>
            <w:r>
              <w:rPr>
                <w:spacing w:val="6"/>
              </w:rPr>
              <w:t>并提交。</w:t>
            </w:r>
          </w:p>
          <w:p w14:paraId="7B815967">
            <w:pPr>
              <w:pStyle w:val="5"/>
              <w:spacing w:line="219" w:lineRule="auto"/>
              <w:ind w:left="192"/>
            </w:pPr>
            <w:r>
              <w:drawing>
                <wp:anchor distT="0" distB="0" distL="0" distR="0" simplePos="0" relativeHeight="251659264" behindDoc="0" locked="0" layoutInCell="1" allowOverlap="1">
                  <wp:simplePos x="0" y="0"/>
                  <wp:positionH relativeFrom="column">
                    <wp:posOffset>-906145</wp:posOffset>
                  </wp:positionH>
                  <wp:positionV relativeFrom="paragraph">
                    <wp:posOffset>43815</wp:posOffset>
                  </wp:positionV>
                  <wp:extent cx="1581150" cy="1536700"/>
                  <wp:effectExtent l="0" t="0" r="0" b="0"/>
                  <wp:wrapNone/>
                  <wp:docPr id="1027" name="IM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7" name="IM 4"/>
                          <pic:cNvPicPr/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1122" cy="1536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t>原注册证编号：国械注准20173460680</w:t>
            </w:r>
          </w:p>
        </w:tc>
      </w:tr>
    </w:tbl>
    <w:p w14:paraId="20A986B7">
      <w:pPr>
        <w:spacing w:before="105" w:line="219" w:lineRule="auto"/>
        <w:ind w:left="6195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pacing w:val="2"/>
          <w:sz w:val="24"/>
          <w:szCs w:val="24"/>
        </w:rPr>
        <w:t>批准日期：二O二二年二月十八日</w:t>
      </w:r>
    </w:p>
    <w:p w14:paraId="0869B08D">
      <w:pPr>
        <w:spacing w:before="176" w:line="241" w:lineRule="auto"/>
        <w:ind w:left="5"/>
        <w:rPr>
          <w:rFonts w:ascii="宋体" w:hAnsi="宋体" w:eastAsia="宋体" w:cs="宋体"/>
          <w:sz w:val="25"/>
          <w:szCs w:val="25"/>
        </w:rPr>
      </w:pPr>
      <w:r>
        <w:rPr>
          <w:rFonts w:ascii="宋体" w:hAnsi="宋体" w:eastAsia="宋体" w:cs="宋体"/>
          <w:spacing w:val="-6"/>
          <w:position w:val="-2"/>
          <w:sz w:val="25"/>
          <w:szCs w:val="25"/>
        </w:rPr>
        <w:t xml:space="preserve">审批部门：国家药品监督管理局                       </w:t>
      </w:r>
      <w:r>
        <w:rPr>
          <w:rFonts w:ascii="宋体" w:hAnsi="宋体" w:eastAsia="宋体" w:cs="宋体"/>
          <w:spacing w:val="-6"/>
          <w:position w:val="2"/>
          <w:sz w:val="25"/>
          <w:szCs w:val="25"/>
        </w:rPr>
        <w:t>生效日期：二O 二二</w:t>
      </w:r>
      <w:r>
        <w:rPr>
          <w:rFonts w:ascii="宋体" w:hAnsi="宋体" w:eastAsia="宋体" w:cs="宋体"/>
          <w:spacing w:val="-7"/>
          <w:position w:val="2"/>
          <w:sz w:val="25"/>
          <w:szCs w:val="25"/>
        </w:rPr>
        <w:t>年四月二十五日</w:t>
      </w:r>
    </w:p>
    <w:p w14:paraId="397E9285">
      <w:pPr>
        <w:spacing w:before="83" w:line="219" w:lineRule="auto"/>
        <w:ind w:right="27"/>
        <w:jc w:val="right"/>
        <w:rPr>
          <w:rFonts w:ascii="宋体" w:hAnsi="宋体" w:eastAsia="宋体" w:cs="宋体"/>
          <w:spacing w:val="-10"/>
          <w:sz w:val="25"/>
          <w:szCs w:val="25"/>
        </w:rPr>
      </w:pPr>
      <w:r>
        <w:rPr>
          <w:rFonts w:ascii="宋体" w:hAnsi="宋体" w:eastAsia="宋体" w:cs="宋体"/>
          <w:spacing w:val="-10"/>
          <w:sz w:val="25"/>
          <w:szCs w:val="25"/>
        </w:rPr>
        <w:t>有效期至：二O 二七年四月二十四日</w:t>
      </w:r>
    </w:p>
    <w:p w14:paraId="768DBDC8">
      <w:pPr>
        <w:spacing w:before="83" w:line="219" w:lineRule="auto"/>
        <w:ind w:right="27"/>
        <w:jc w:val="right"/>
        <w:rPr>
          <w:rFonts w:ascii="宋体" w:hAnsi="宋体" w:eastAsia="宋体" w:cs="宋体"/>
          <w:sz w:val="25"/>
          <w:szCs w:val="25"/>
        </w:rPr>
      </w:pPr>
    </w:p>
    <w:p w14:paraId="7BFFA155">
      <w:pPr>
        <w:spacing w:before="83" w:line="219" w:lineRule="auto"/>
        <w:ind w:right="27"/>
        <w:jc w:val="right"/>
        <w:rPr>
          <w:rFonts w:ascii="宋体" w:hAnsi="宋体" w:eastAsia="宋体" w:cs="宋体"/>
          <w:sz w:val="25"/>
          <w:szCs w:val="25"/>
        </w:rPr>
      </w:pPr>
    </w:p>
    <w:p w14:paraId="020DAA14">
      <w:pPr>
        <w:spacing w:before="83" w:line="219" w:lineRule="auto"/>
        <w:ind w:right="27"/>
        <w:jc w:val="right"/>
        <w:rPr>
          <w:rFonts w:ascii="宋体" w:hAnsi="宋体" w:eastAsia="宋体" w:cs="宋体"/>
          <w:sz w:val="25"/>
          <w:szCs w:val="25"/>
        </w:rPr>
      </w:pPr>
    </w:p>
    <w:p w14:paraId="16D56FF6">
      <w:pPr>
        <w:spacing w:before="83" w:line="219" w:lineRule="auto"/>
        <w:ind w:right="27"/>
        <w:jc w:val="left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6384290" cy="8525510"/>
            <wp:effectExtent l="0" t="0" r="16510" b="8890"/>
            <wp:docPr id="3" name="图片 3" descr="428b5b584d2629cc0b66193fb923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428b5b584d2629cc0b66193fb92304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384290" cy="8525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3C0CAA">
      <w:pPr>
        <w:spacing w:before="83" w:line="219" w:lineRule="auto"/>
        <w:ind w:right="27"/>
        <w:jc w:val="left"/>
        <w:rPr>
          <w:rFonts w:hint="eastAsia" w:ascii="宋体" w:hAnsi="宋体" w:eastAsia="宋体" w:cs="宋体"/>
          <w:sz w:val="25"/>
          <w:szCs w:val="25"/>
          <w:lang w:eastAsia="zh-CN"/>
        </w:rPr>
      </w:pPr>
      <w:r>
        <w:rPr>
          <w:rFonts w:hint="eastAsia" w:ascii="宋体" w:hAnsi="宋体" w:eastAsia="宋体" w:cs="宋体"/>
          <w:sz w:val="25"/>
          <w:szCs w:val="25"/>
          <w:lang w:eastAsia="zh-CN"/>
        </w:rPr>
        <w:drawing>
          <wp:inline distT="0" distB="0" distL="114300" distR="114300">
            <wp:extent cx="6388100" cy="3741420"/>
            <wp:effectExtent l="0" t="0" r="12700" b="11430"/>
            <wp:docPr id="2" name="图片 2" descr="微信图片_202411261025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微信图片_2024112610250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388100" cy="3741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5"/>
          <w:szCs w:val="25"/>
          <w:lang w:eastAsia="zh-CN"/>
        </w:rPr>
        <w:drawing>
          <wp:inline distT="0" distB="0" distL="114300" distR="114300">
            <wp:extent cx="6383655" cy="4796155"/>
            <wp:effectExtent l="0" t="0" r="17145" b="4445"/>
            <wp:docPr id="4" name="图片 4" descr="微信图片_202411261026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微信图片_2024112610261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383655" cy="4796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388100" cy="4242435"/>
            <wp:effectExtent l="0" t="0" r="12700" b="57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388100" cy="4242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0" w:h="16830"/>
      <w:pgMar w:top="1430" w:right="594" w:bottom="0" w:left="1244" w:header="0" w:footer="0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9"/>
  <w:displayBackgroundShape w:val="1"/>
  <w:documentProtection w:enforcement="0"/>
  <w:characterSpacingControl w:val="doNotCompress"/>
  <w:footnotePr>
    <w:footnote w:id="0"/>
    <w:footnote w:id="1"/>
  </w:footnotePr>
  <w:endnotePr>
    <w:endnote w:id="0"/>
    <w:endnote w:id="1"/>
  </w:endnotePr>
  <w:compat>
    <w:spaceForUL/>
    <w:ulTrailSpace/>
    <w:useFELayout/>
    <w:compatSetting w:name="compatibilityMode" w:uri="http://schemas.microsoft.com/office/word" w:val="14"/>
  </w:compat>
  <w:rsids>
    <w:rsidRoot w:val="00000000"/>
    <w:rsid w:val="147F4559"/>
    <w:rsid w:val="16327340"/>
    <w:rsid w:val="31B906A2"/>
    <w:rsid w:val="3F42260B"/>
    <w:rsid w:val="59337C8C"/>
    <w:rsid w:val="61F7441D"/>
    <w:rsid w:val="74195D41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Arial" w:hAnsi="Arial" w:eastAsia="Arial" w:cs="Arial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kinsoku w:val="0"/>
      <w:autoSpaceDE w:val="0"/>
      <w:autoSpaceDN w:val="0"/>
      <w:adjustRightInd w:val="0"/>
      <w:snapToGrid w:val="0"/>
      <w:spacing w:line="240" w:lineRule="auto"/>
      <w:jc w:val="left"/>
      <w:textAlignment w:val="baseline"/>
    </w:pPr>
    <w:rPr>
      <w:rFonts w:ascii="Arial" w:hAnsi="Arial" w:eastAsia="Arial" w:cs="Arial"/>
      <w:snapToGrid w:val="0"/>
      <w:color w:val="000000"/>
      <w:kern w:val="0"/>
      <w:sz w:val="21"/>
      <w:szCs w:val="21"/>
      <w:lang w:val="en-US" w:eastAsia="en-US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">
    <w:name w:val="Table Normal"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5">
    <w:name w:val="Table Text"/>
    <w:basedOn w:val="1"/>
    <w:qFormat/>
    <w:uiPriority w:val="0"/>
    <w:rPr>
      <w:rFonts w:ascii="宋体" w:hAnsi="宋体" w:eastAsia="宋体" w:cs="宋体"/>
      <w:sz w:val="28"/>
      <w:szCs w:val="28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jpe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4</Pages>
  <Words>742</Words>
  <Characters>879</Characters>
  <Paragraphs>62</Paragraphs>
  <TotalTime>0</TotalTime>
  <ScaleCrop>false</ScaleCrop>
  <LinksUpToDate>false</LinksUpToDate>
  <CharactersWithSpaces>947</CharactersWithSpaces>
  <Application>WPS Office_12.1.0.18912_F1E327BC-269C-435d-A152-05C5408002CA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2024-11-05T10:15:00Z</dcterms:created>
  <dc:creator>Kingsoft-PDF</dc:creator>
  <cp:lastModifiedBy>然而</cp:lastModifiedBy>
  <dcterms:modified xsi:type="dcterms:W3CDTF">2024-11-26T02:32:28Z</dcterms:modified>
  <dc:subject>pdfbuilder</dc:subject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O">
    <vt:lpwstr>wqlLaW5nc29mdCBQREYgdG8gV1BTIDEwMA</vt:lpwstr>
  </property>
  <property fmtid="{D5CDD505-2E9C-101B-9397-08002B2CF9AE}" pid="3" name="UsrData">
    <vt:lpwstr>67297fcf8fdd45001f329bd7wl</vt:lpwstr>
  </property>
  <property fmtid="{D5CDD505-2E9C-101B-9397-08002B2CF9AE}" pid="4" name="ICV">
    <vt:lpwstr>6580F9BCAC8E47F78A4776CA0F4AD3DF_13</vt:lpwstr>
  </property>
  <property fmtid="{D5CDD505-2E9C-101B-9397-08002B2CF9AE}" pid="5" name="KSOProductBuildVer">
    <vt:lpwstr>2052-12.1.0.18912</vt:lpwstr>
  </property>
</Properties>
</file>