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840"/>
        <w:jc w:val="both"/>
        <w:textAlignment w:val="auto"/>
        <w:outlineLvl w:val="9"/>
        <w:rPr>
          <w:rFonts w:hint="default" w:ascii="Times New Roman" w:hAnsi="Times New Roman" w:eastAsia="黑体" w:cs="Times New Roman"/>
        </w:rPr>
      </w:pPr>
      <w:bookmarkStart w:id="0" w:name="_GoBack"/>
      <w:r>
        <w:rPr>
          <w:rFonts w:hint="default" w:ascii="Times New Roman" w:hAnsi="Times New Roman" w:eastAsia="黑体" w:cs="Times New Roman"/>
        </w:rPr>
        <w:t>附件1</w:t>
      </w:r>
    </w:p>
    <w:bookmarkEnd w:id="0"/>
    <w:p>
      <w:pPr>
        <w:keepNext w:val="0"/>
        <w:keepLines w:val="0"/>
        <w:pageBreakBefore w:val="0"/>
        <w:kinsoku/>
        <w:wordWrap/>
        <w:overflowPunct/>
        <w:topLinePunct w:val="0"/>
        <w:autoSpaceDE/>
        <w:autoSpaceDN/>
        <w:bidi w:val="0"/>
        <w:adjustRightInd/>
        <w:snapToGrid/>
        <w:spacing w:line="560" w:lineRule="exact"/>
        <w:ind w:left="0" w:leftChars="0" w:right="84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确认继续有效的规范性文件目录</w:t>
      </w:r>
    </w:p>
    <w:p>
      <w:pPr>
        <w:keepNext w:val="0"/>
        <w:keepLines w:val="0"/>
        <w:pageBreakBefore w:val="0"/>
        <w:kinsoku/>
        <w:wordWrap/>
        <w:overflowPunct/>
        <w:topLinePunct w:val="0"/>
        <w:autoSpaceDE/>
        <w:autoSpaceDN/>
        <w:bidi w:val="0"/>
        <w:adjustRightInd/>
        <w:snapToGrid/>
        <w:spacing w:line="560" w:lineRule="exact"/>
        <w:ind w:left="0" w:leftChars="0" w:right="840"/>
        <w:jc w:val="both"/>
        <w:textAlignment w:val="auto"/>
        <w:outlineLvl w:val="9"/>
        <w:rPr>
          <w:rFonts w:hint="default" w:ascii="Times New Roman" w:hAnsi="Times New Roman" w:eastAsia="方正小标宋简体" w:cs="Times New Roman"/>
          <w:b w:val="0"/>
          <w:bCs w:val="0"/>
          <w:sz w:val="32"/>
          <w:szCs w:val="24"/>
        </w:rPr>
      </w:pPr>
    </w:p>
    <w:tbl>
      <w:tblPr>
        <w:tblStyle w:val="2"/>
        <w:tblW w:w="0" w:type="auto"/>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4"/>
        <w:gridCol w:w="2386"/>
        <w:gridCol w:w="5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2"/>
                <w:szCs w:val="22"/>
                <w:u w:val="none"/>
                <w:lang w:val="en-US" w:eastAsia="zh-CN" w:bidi="ar"/>
              </w:rPr>
              <w:t>序号</w:t>
            </w:r>
          </w:p>
        </w:tc>
        <w:tc>
          <w:tcPr>
            <w:tcW w:w="238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2"/>
                <w:szCs w:val="22"/>
                <w:u w:val="none"/>
                <w:lang w:val="en-US" w:eastAsia="zh-CN" w:bidi="ar"/>
              </w:rPr>
              <w:t>文号</w:t>
            </w:r>
          </w:p>
        </w:tc>
        <w:tc>
          <w:tcPr>
            <w:tcW w:w="583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2"/>
                <w:szCs w:val="22"/>
                <w:u w:val="none"/>
                <w:lang w:val="en-US" w:eastAsia="zh-CN" w:bidi="ar"/>
              </w:rPr>
              <w:t>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湘医保函〔2004〕16号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《湖南省省直管单位职工生育保险统筹支付项目及支付标准》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湘医保发〔2019〕30号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关于印发《湖南省落实国家药品集中采购和使用试点工作实施方案》的通知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湘医保发〔2019〕39号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关于在长部省属公立医疗机构取消医用耗材加成同步调整医疗服务价格的实施方案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湘医保发〔2019〕40号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关于印发《湖南省全面取消公立医疗机构医用耗材加成调整医疗服务价格实施意见》的通知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5</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湘医保发〔2019〕41号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关于规范基层医疗卫生机构医疗服务价格管理工作的通知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6</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湘医保发（2019）31号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关于进一步规范全省协议零售药店开展特殊病种门诊药店服务管理的通知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8</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湘医保发〔2019〕9号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关于全面推进生育保险和职工基本医疗保险合并实施的意见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9</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湘医保发〔2019〕34 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关于做好城乡居民高血压糖尿病门诊用药保障工作的实施意见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10</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湘医保发〔2019〕43 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关于全面实行基本医疗保险和生育保险市级统筹的实施意见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11</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湘医保发〔2020〕23号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关于生育保险和职工基本医疗保险合并实施有关问题的处理意见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12</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湘医保发〔2020〕35号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关于完善“互联网+”医疗服务价格和医保支付政策的实施意见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13</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湘医保发〔2020〕42号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关于印发《湖南省2020年度医疗机构部分医用耗材集中带量采购方案》的通知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14</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湘医保发〔2021〕2号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关于规范药品挂网采购工作的通知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15</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湘医保发〔2020〕54号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关于建立医药价格和招采信用评价制度的实施意见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16</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湘医保发〔2020〕58号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关于统一全省医疗保险缴费政策的通知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17</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湘医保发〔2021〕20号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关于缴纳省直统筹管理离休干部医疗保障统筹金的通知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18</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湘医保发〔2021〕3号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关于规范公立医疗机构特需医疗服务项目价格管理工作的通知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19</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湘医保发〔2021〕18号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关于建立医疗服务价格动态调整机制的实施意见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20</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湘医保发〔2021〕44号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关于建立医疗服务价格动态调整机制监测评估制度的通知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21</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湘医保发〔2021〕46号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湖南省医疗保障局 湖南省卫生健康委员会 湖南省药品监督管理局 湖南省公共资源交易中心关于印发《湖南省2021年度抗菌药物专项集中采购药品续约实施方案》的通知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22</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湘医保发〔2021〕8号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湖南省医疗保障局 湖南省财政厅 国家税务总局湖南省税务局 中国银行保险监督管理委员会湖南监管局关于规范补充医疗保险发展 完善多层次医疗保障体系的指导意见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23</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湘医保发〔2021〕29号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关于拓展医疗保障脱贫攻坚成果有效衔接乡村振兴战略的实施意见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24</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湘医保发〔2021〕41号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关于印发《湖南省城乡居民大病保险实施办法》的通知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25</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湘医保发〔2021〕47号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湖南省医疗保障局 湖南省财政厅关于建立医疗保障待遇清单制度的实施意见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26</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湘医保发〔2021〕48号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关于印发《长株潭区域基本医疗保险和生育保险统筹管理实施方案》的通知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27</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湘医保发〔2021〕34号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湖南省医疗保障局 湖南省卫生健康委员会关于印发《湖南省医保谈判药品“双通道”管理办法》的通知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28</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湘医保发〔2021〕35号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highlight w:val="none"/>
                <w:u w:val="none"/>
              </w:rPr>
            </w:pPr>
            <w:r>
              <w:rPr>
                <w:rFonts w:hint="eastAsia" w:ascii="方正仿宋_GBK" w:hAnsi="方正仿宋_GBK" w:eastAsia="方正仿宋_GBK" w:cs="方正仿宋_GBK"/>
                <w:i w:val="0"/>
                <w:color w:val="000000"/>
                <w:kern w:val="0"/>
                <w:sz w:val="22"/>
                <w:szCs w:val="22"/>
                <w:highlight w:val="none"/>
                <w:u w:val="none"/>
                <w:lang w:val="en-US" w:eastAsia="zh-CN" w:bidi="ar"/>
              </w:rPr>
              <w:t>关于印发《湖南省医疗机构医疗保障定点管理实施细则（试行）》的通知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29</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湘医保发〔2021〕36号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highlight w:val="none"/>
                <w:u w:val="none"/>
              </w:rPr>
            </w:pPr>
            <w:r>
              <w:rPr>
                <w:rFonts w:hint="eastAsia" w:ascii="方正仿宋_GBK" w:hAnsi="方正仿宋_GBK" w:eastAsia="方正仿宋_GBK" w:cs="方正仿宋_GBK"/>
                <w:i w:val="0"/>
                <w:color w:val="000000"/>
                <w:kern w:val="0"/>
                <w:sz w:val="22"/>
                <w:szCs w:val="22"/>
                <w:highlight w:val="none"/>
                <w:u w:val="none"/>
                <w:lang w:val="en-US" w:eastAsia="zh-CN" w:bidi="ar"/>
              </w:rPr>
              <w:t>关于印发《湖南省零售药店医疗保障定点管理实施细则（试行）》的通知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30</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湘医保发〔2021〕58号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关于印发《湖南省基本医疗保险、工伤保险和生育保险医疗服务项目目录（2021版）》《湖南省基本医疗保险、工伤保险和生育保险医用耗材目录（2021版）》的通知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31</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湘医保发〔2021〕65号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关于印发《湖南省医疗保障信用管理暂行办法》的通知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32</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湘医保发〔2021〕66号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关于印发《湖南省医疗保障基金使用监督管理行政处罚裁量基准》的通知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33</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湘医保发〔2021〕67号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关于印发《湖南省医疗保障基金使用监督管理举报线索处理暂行办法》的通知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34</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湘医保发〔2022〕15号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关于印发《湖南省欺诈骗取医疗保障基金行为举报奖励实施细则》的通知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35</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湘医保发〔2022〕1号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关于印发《湖南省实施〈基本医疗保险用药管理暂行办法〉细则》的通知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36</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湘医保发〔2022〕3号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关于印发《湖南省精神疾病医保支付管理暂行办法》的通知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37</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湘医保发〔2022〕4号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关于印发《湖南省恶性肿瘤门诊放化疗医保支付管理暂行办法》的通知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38</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湘医保发〔2022〕23号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关于印发《湖南省基本医疗保险、工伤保险和生育保险医疗服务项目支付管理暂行办法》的通知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39</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湘医保发〔2022〕40号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关于印发《湖南省基本医疗保险和生育保险医疗机构制剂目录（2022版）》的通知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40</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湘医保发〔2022〕43号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关于做好2022年湖南省新增纳入《基本医疗保险、工伤保险和生育保险药品目录》中药饮片执行工作的通知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41</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湘医保发〔2022〕19号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关于规范调整部分医疗服务价格项目的通知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42</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湘医保发〔2022〕49号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关于印发《湖南省现行医疗服务价格项目目录（2022）》的通知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43</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湘医保发〔2022〕52号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关于印发《湖南省职工基本医疗保险慢特病门诊待遇保障管理办法》的通知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44</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湘医保发〔2022〕61号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w:t>
            </w:r>
            <w:r>
              <w:rPr>
                <w:rFonts w:hint="eastAsia" w:ascii="Times New Roman" w:hAnsi="Times New Roman" w:eastAsia="仿宋_GB2312" w:cs="Times New Roman"/>
                <w:sz w:val="24"/>
                <w:szCs w:val="24"/>
                <w:lang w:val="en-US" w:eastAsia="zh-CN"/>
              </w:rPr>
              <w:t>于印发《湖南省基本医疗保险异地就医直接结算管理办法》的通知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45</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湘医保发〔2023〕13号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关于执行《国家基本医疗保险、工伤保险和生育保险药品目录（2022年）》的通知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46</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湘医保发〔2023〕30号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关于印发《湖南省日间手术医保支付管理办法》的通知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47</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湘医保发〔2023〕32号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关于印发《湖南省居民基本医疗保险慢特病门诊待遇保障管理办法》的通知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48</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湘医保发〔2023〕37号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关于印发《湖南省城乡居民大病保险承办服务考核试行办法》的通知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49</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湘医保发〔2023〕41号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关于做好2024年度城乡居民基本医疗保险参保缴费工作的通知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97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50</w:t>
            </w:r>
          </w:p>
        </w:tc>
        <w:tc>
          <w:tcPr>
            <w:tcW w:w="2386"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湘医保发〔2023〕43号</w:t>
            </w:r>
          </w:p>
        </w:tc>
        <w:tc>
          <w:tcPr>
            <w:tcW w:w="583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2"/>
                <w:szCs w:val="22"/>
                <w:u w:val="none"/>
                <w:lang w:val="en-US" w:eastAsia="zh-CN" w:bidi="ar"/>
              </w:rPr>
              <w:t>关于深入推进医用耗材阳光挂网集中采购的实施意见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77D0A43-8CF0-424C-89D9-7C28438E2184}"/>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32BBFBB3-D6D6-4E98-BAB0-3CA09F064CCA}"/>
  </w:font>
  <w:font w:name="方正仿宋_GBK">
    <w:panose1 w:val="02000000000000000000"/>
    <w:charset w:val="86"/>
    <w:family w:val="auto"/>
    <w:pitch w:val="default"/>
    <w:sig w:usb0="A00002BF" w:usb1="38CF7CFA" w:usb2="00082016" w:usb3="00000000" w:csb0="00040001" w:csb1="00000000"/>
    <w:embedRegular r:id="rId3" w:fontKey="{81CC01AF-7984-4FE9-AE24-52C4AFBF93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s>
  <w:rsids>
    <w:rsidRoot w:val="25A83CAE"/>
    <w:rsid w:val="25A8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2023-11-13T08:56:00Z</dcterms:created>
  <dc:creator>好想吃糖油粑粑</dc:creator>
  <cp:lastModifiedBy>好想吃糖油粑粑</cp:lastModifiedBy>
  <dcterms:modified xsi:type="dcterms:W3CDTF">2023-11-13T08:57:30Z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273A3DD80A46438D9676BC16B78211B9_11</vt:lpwstr>
  </property>
</Properties>
</file>