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0"/>
        <w:gridCol w:w="729"/>
        <w:gridCol w:w="1280"/>
        <w:gridCol w:w="1280"/>
        <w:gridCol w:w="2017"/>
        <w:gridCol w:w="128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总编号：0677 </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类 别：工交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分类号：043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b/>
                <w:bCs/>
                <w:sz w:val="22"/>
                <w:szCs w:val="22"/>
              </w:rPr>
              <w:t>湖南省人民代表大会代表建议、批评和意见</w:t>
            </w: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建议标题 </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关于建立严重精神障碍患者联动救助机制，助力患者回归社会的建议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代表姓名 </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谢良琼 等 1 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 表 团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衡阳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421007  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建议内容（包括案由、案据和方案）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湖南是精神卫生医学重要发源地，十四五期间国家建立医学中心，2022年湖南成为四大国家精神疾病医学中心之一，是严重精神障碍医学诊疗的学术诊疗高地，各部门也出台相关措施保障患者的住院治疗与康复，强有力的学术支持及系列政策为“健康、平安湖南”助力。</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因严重精神障碍的慢性、反复发作的特性，除了学术力量更需多部门持续联动来为患者的治疗与回归保驾护航，患者多起病于20-30岁的青壮年，难以坚持每天服口服药，导致疾病高复发，面临社会功能丧失、肇事肇祸风险高或长期住院的困境。近年来国家及外省出台系列措施解决严重精神障碍患者的门诊治疗与长期住院的困境，与其他省份相比，我省的严重精神障碍患者的门诊的管理治疗还存在一定的困境，具体表现在：</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疾病负担重，服药不依从肇事肇祸风险高。一项省级调查发现严重精神障碍患者贫困率高达44.1%，患者贫困引发多种社会矛盾[1]。研究发现约10%患者具有危险行为或暴力倾向造成社会危害，年龄越小、无业、贫困、不规律服药这类患者的暴力行为比例更高[2]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中青年长期住院功能衰退，加大医保及社会资源耗费。在急性期过后，中青年患者若门诊保障不充分，易导致严重精神障碍患者长期住院，缺乏社会交往，精神衰退症日趋加重，造成长期住院的病人不断累积，医保及财政的负担不断加重。长期滞留医院治疗，不符合我国的精神卫生法的宗旨，大量患者长期住院是医保基金、社会资源的浪费 [3]。</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三、多部门联动保障机制不健全。精神障碍患者的保障是需要多部门联动保障，在我省各部门对于精神障碍患者定期沟通暂时缺乏定期沟通的机制及衔接，难以形成更好的合力保障患者回归社会。</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以上是患者管理面临的普遍性问题，基于精神障碍患者的相关特性国家出台文件，多省已应用国家文件中提到的创新手段。</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多部门联动保障形成合力，进行多方共付长效针剂治疗管理模式。《全国肇事肇祸等严重精神障碍患者专项摸排通知》提到多部门整合资源对治疗依从性差、无或弱监护危3级以上患者免费提供长效针剂治疗。至今已有多个省开展长效针剂创新的治疗模式政府发文，帮助患者病情控制并回归社会。民生周刊报道广东云浮患者用针，实行“医保报销 财政兜底”全免费，长期住院情况减少，患者逐步就业。南方都市报、南国都市报、银川新闻等全国多地媒体报告四川、海南、鄂尔多斯等地长效针剂政府项目，多地项目实施后患者的反复住院情况改善，病情稳定，很多患者走上就业岗位，肇事肇祸风险降低。</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外省逐步完善医保的门诊慢性特殊病待遇保障，减少住院比例。国家医保局的《关于建立医疗保障待遇清单制度的意见》在门诊待遇支付政策中提到对肿瘤门诊放化疗、透析、严重精神障碍可参照住院管理。2020-2022年云南、北京、江苏、山西等多地医保将严重精神障碍门诊参照住院管理。上海、四川、云南、安徽、青岛等多地省级、市级卫健联合医保局等专项发文一月一针帕利哌酮长效针剂项目，为进行项目提供专项门诊医保待遇保障。广东《关于进一步加强严重精神障碍患者医疗保障工作的通知》门诊按照住院标准执行，使用棕榈酸帕利哌酮的费用计入基金最高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按照流行病学调查发病率约千分之四点五，湖南患者约30万人，一项调查研究湖南登记在库数据显示，病情不稳定约 9885 人。按人口比例估计无监护弱监护危3级别以上最核心人群2000人左右，为了实现严重精神障碍治疗领域精准扶贫，让政策发挥更大的社会效益，为此建议：</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多方共付进行长效针剂治疗管理的模式，定期评价创新项目进展。一是借鉴外省经验对于无监护弱监护危3级的年轻患者由政法、医保、卫健、财政、残联等多方筹资共付为严重精神障碍患者进行长效针剂兜底的免费治疗，减少患者长期住院与暴力风险，助力患者回归社会。二是鼓励定期回顾项目进展，鼓励创新项目中优秀项目工作者及医疗专业人士建言献策，总结项目过程中优势经验。三是对于病情不稳定在册患者，逐步试点，选择核心需求强烈的患者，不断总结符合我省管理模式的经验，形成符合我省特色及现状的最佳管理模式减少中青年因长期住院社会功能退缩的困境，使患者更好地康复回归社会与就业，减少患者长期住院医保及财政的负担，助力和谐社会的进一步构建。</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二、建立多部门定期联动沟通工作机制。解决严重精神障碍治疗及管理中遇到的难点和痛点，减少肇事肇祸与中青年患者长期住院的困境。一是要各部门固定1-2人负责，并建立工作联络群，每半年至少召开1次以上会议，并根据工作中遇到的困难及挑战，予以及时改进和调整，并形成会议纪要，多部门联动互相支持形成合力。二是要协同保障，整合各个部门资源，充分发挥各部门之间的优势整合资金与资源为患者住院后门诊治疗与社区康复提供保障。</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三、完善医保门诊慢性特殊病保障，减少住院，助力患者回归社会。一是重型精神障碍参保患者可参照云南模式，云医保 〔2020〕77号区分重性精神病和精神病，将门诊慢性特殊病的待遇对于（严重精神障碍）门诊等同住院（参照国家待遇清单制度），普通精神病）给予基础门诊的待遇保障。二是因病情需要特定人群（依从性不佳、无监护、弱监护）使用第长效针剂帕利哌酮（一月一针剂及以上剂型）门诊特殊慢性病使用单列支付或门诊参照住院支付，最大化使重性精神障碍患者获益。</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附件：各省市严重精神障碍第二代长效针剂项目政府发文表（部分列举）</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各省市严重精神障碍医保列举及近年调整概览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各省市严重精神障碍患者第二代长效针剂项目政府发文表（部分列举）</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省份文件名称</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四川名称关于印发《四川省严重精神障碍患者应用第二代长效针剂门诊治疗试点工作方案》的通知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发文2022年 四川省卫健、政法、医保、残联等共十部门联合发文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云南名称关于印发云南省精神分裂症患者应用第二代长效针剂门诊治疗项目试点工作方案的通知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发文2020年云南省卫健、政法、医保、残联等共七部门联合发文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山东名称关于印发《青岛市应用第二代长效针剂治疗精神分裂症患者项目试点工作方案》的通知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发文青岛市卫健、医保局联合发文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上海名称关于印发《上海市社区严重精神障碍患者使用长效治疗药物工作方案》的通知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发文上海市卫健、公安、医保财政联合发文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安徽名称关于印发《安徽省严重精神障碍患者应用第二代长效针剂门诊治疗的工作方案》的通知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发文安徽省卫健、医保联合发文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河南关于下发《河南省长效针剂社区试点（豫南驻马店）项目方案（试行版）》的通知 驻卫疾控〔2022〕9号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关于公布2022河南省医疗卫生科研创新项目审批的通知 豫科项〔2022〕9号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海南《2022年海南省严重精神障碍患者二代长效针治疗项目实施方案》的通知 琼卫健服函2022 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山东《应用二代长效针剂治疗精神分裂症患者项目试点筛查工作方案》的通知 青西新卫健字〔2022〕118号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山东《青岛市应用第二代长效针剂治疗精神分裂症患者项目试点工作方案》的通知 青卫函〔2021〕31号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甘肃《甘肃省第二代长效针剂维持治疗精神分裂症试点项目工作方案》的通知 甘卫疾控函（2021）218号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内蒙开展鄂尔多斯市精神分裂症患者应用第二代长效针剂治疗项目试点工作的通知 鄂卫健发（2021）89号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新疆关于进一步做好2021年重大传染病防控项目工作的通知 新卫疾控函（2021）23号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陕西十四运期间易肇事肇祸精神分裂症患者救治救助和服务管理专项工作方案的通知 市卫发（2021）145号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湖北东西湖区关于运用长效针剂门诊治疗易肇事肇祸精神分裂症患者工作方案 2022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关于印发武汉市第七届军运会易肇事肇祸严重精神障碍患者管理治疗实施方案的通 武综精【2019】1号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福建关于进一步加强严重精神障碍患者救治管理工作的通知 泉委政法〔2021〕21号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关于印发《石狮市精神分裂症患者应用长效针剂管理治疗试点方案》的通知 狮委政法〔2021〕10号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江苏关于进一步做好易肇事肇祸严重精神障碍患者救治救护工作的方案 亭委政发2020【4】号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关于印发《苏州市精神分裂症患者应用长效针剂管理治疗试点方案（试行）》的通知 苏经办（2019）5号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河北关于印发《石家庄社会心理服务体系建设工作实施方案》的通知 石卫〔2019 〕19号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石家庄市严重精神障碍患者医院社区一体化管理试点项目方案（试行版） 石精项目〔2020〕1号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深州市关于试点推行贫困精神分裂症患者注射新型长效针剂项目的通知 深综治〔2018〕1号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浙江关于印发《绍兴市社区严重精神障碍患者使用长效巫妖治疗试点工作方案》的通知 绍卫发〔2022 〕6号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宁波市卫生健康委关于印发《2022年宁波市社会心理服务体系建设过程性指标赋分标准》的通知 2022</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上海关于印发《上海市社区严重精神障碍患者使用长效治疗药物工作方案》的通知 沪卫疾控2020 17号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北京《房山区推荐采用长效针剂治疗服药依从性差等高风险患者实施方案》的通知京房卫公卫字〔2022〕1号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朝阳区使用长效针剂对于社区治疗依从性差零监护弱监护高风险精神分裂症患者的治疗管理方案的通知 朝精综管办字〔 2018 〕5号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密云区门诊高风险严重精神障碍患者使用长效针剂实施方案 2021</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北京帕利哌酮长效针剂进入重性精神障碍免费服药目录 卫健、政法、医保、财政、残联 2023年1月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广东《深圳市罗湖区严重精神障碍患者应用长效针剂治疗项目工作方案》通知 罗卫健发（2021）93号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《开展严重精神障碍救治管理和社会心理服务体系建设工作评估的通知》 粤卫办疾〔2021〕1号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《关于印发湛江市精神分裂患者应用长效针剂治疗项目实施方案的通知》 湛卫函〔2021〕431号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医保门诊待遇2020-2022年调整概览</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省</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内容备注</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江苏2022年8月，恶性肿瘤、慢性肾功能衰竭、严重精神障碍、血友病、器官移植术后抗排异治疗、再生障碍性贫血、系统性红斑狼疮、肺结核等8类，医保基金支付门特待遇按照不低于相应住院标准执行。对严重精神障碍不设起付标准。江苏省医疗保障局关于统一基本医疗保险门诊特殊病保障政策的通知 苏医保发〔2022〕46号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2020年6月，云南：重性精神病为门诊特殊病，支付比例90%，各统筹地基本医疗保险和大病保险住院最高支付限额执行，起付线为0.关于统一全省基本医疗保险门诊特殊慢性病病种管理服务的通知，云医保〔2020〕77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北京2020年9月北京市：将“重性精神病”纳入本市基本医疗保险门诊特殊疾病范围；纳入门诊特殊疾病范围后，患者因病情需要进行门诊检查、治疗及均可按住院费用标准报销。</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山西2022年01月，省级文件各统筹地区职工医保执行全省统一的45种门诊慢特病病种范围及准入（退出）标准，城乡居民医保同步调整。恶性肿瘤门诊治疗、尿毒症透析、重性精神病和结核病等适合在门诊开展、比住院更经济方便的特殊治疗参照住院管理。统筹区文件：太原、晋中（职工）、临汾（职工）、运城、忻州、大同、晋城、吕梁、阳泉、长治、朔州（职工）11个城市门诊重性精神病病种准入及支付标准3月陆续发布；且大部分统筹区待遇高于省级文件指导待遇标准。4月1日起执行《关于统一规范全省职工基本医疗保险门诊慢特病病种范围的通知》晋医保发〔2022〕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东2021年10月，精神障碍门诊特定病种不设起付线，政策范围内支付比例按照同级别医疗机构住院标准执行。其中精神分裂症患者使用棕榈酸帕利哌酮注射液、棕榈帕利哌酮酯注射液等长效针剂治疗的费用直接计入基金最高支付限额《关于进一步加强严重精神障碍患者医疗保障工作的通知》</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粤医保函〔2021〕283号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四川2022年3月，按照2021年省医保局贯彻落实医疗保障待遇清单制度三年行动方案，重性精神病人药物维持治疗等门诊特殊疾病病种可参照住院管理。《四川省严重精神障碍患者应用第二代长效针剂试点工作方案》四川省卫健及医保等8部门联合发文，川卫疾控〔2022〕47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国家医保2021年1月，国家医疗保障局、财政部联合发布《关于建立医疗保障待遇清单制度》恶性肿瘤、重性精神病、肺结核等门诊慢特病，药物维持治疗可参照住院管理和支付。国家医保局</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医保发〔2021〕5号</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市保障类型长效针剂帕利哌酮注射液报销政策</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在职职工居民</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报销比例 (%)限额(元/年）先行支付比例（%）报销比例 (%)限额(元/年）</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上海市门诊统筹85%无限额0%50%无限额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广州市门诊特殊病80%3000000%70%170000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深圳市门诊特殊病90%无限额10%90%无限额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北京市门诊特殊病85%50000010%75%250000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城市长效针剂一月一针剂型报销政策</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保障类型在职职工居民</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报销比例 (%)限额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(元/年）报销比例 (%)限额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(元/年）</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广州市门特80%30000070%170000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深圳市门特90%无限额90%无限额</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杭州市门特82%40000070%300000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宁波市门特92%无限额70%250000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厦门市门诊</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统筹72%- 90%.100000起付500，小于1万45%，1万～10报65%100000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成都市门特85%62000053%、60%、68%270000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西安市门特82%40000060%250000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济南市门特85%60000040%-65%150000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哈尔滨市门特90%50000085%180000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青岛市门特86%-90%20000070%-85%300000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长春市门特68%70000042%360000</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石家庄门特90%25万80%20万</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云南、山西、江苏同上文5.1，云南执行90%报销比例重性精神病，江苏门诊等同住院支付</w:t>
            </w:r>
          </w:p>
          <w:p>
            <w:pPr>
              <w:pStyle w:val="9"/>
              <w:keepNext w:val="0"/>
              <w:keepLines w:val="0"/>
              <w:widowControl/>
              <w:suppressLineNumbers w:val="0"/>
              <w:spacing w:line="480" w:lineRule="auto"/>
              <w:ind w:left="0" w:firstLine="420"/>
              <w:rPr>
                <w:rFonts w:hint="eastAsia" w:ascii="宋体" w:hAnsi="宋体" w:eastAsia="宋体" w:cs="宋体"/>
                <w:sz w:val="24"/>
                <w:szCs w:val="24"/>
              </w:rPr>
            </w:pPr>
            <w:r>
              <w:rPr>
                <w:rFonts w:hint="eastAsia" w:ascii="宋体" w:hAnsi="宋体" w:eastAsia="宋体" w:cs="宋体"/>
                <w:sz w:val="24"/>
                <w:szCs w:val="24"/>
              </w:rPr>
              <w:t>一类城市4个：包括北京、上海、广州、深圳，门诊限额均大于2万/年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rPr>
                <w:sz w:val="22"/>
                <w:szCs w:val="22"/>
              </w:rPr>
            </w:pPr>
            <w:r>
              <w:rPr>
                <w:rFonts w:ascii="宋体" w:hAnsi="宋体" w:eastAsia="宋体" w:cs="宋体"/>
                <w:sz w:val="22"/>
                <w:szCs w:val="22"/>
              </w:rPr>
              <w:t xml:space="preserve">建议日期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2023-01-14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审查意见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办理单位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主办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省医疗保障局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会办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省财政厅 省残联 省公安厅 省民政厅 省委政法委 省卫健委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附议人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bookmarkStart w:id="0" w:name="_GoBack"/>
            <w:bookmarkEnd w:id="0"/>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05B96D9A"/>
    <w:rsid w:val="394754E3"/>
    <w:rsid w:val="69732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dcenter"/>
    <w:basedOn w:val="1"/>
    <w:uiPriority w:val="0"/>
    <w:pPr>
      <w:jc w:val="center"/>
    </w:pPr>
    <w:rPr>
      <w:kern w:val="0"/>
      <w:lang w:val="en-US" w:eastAsia="zh-CN" w:bidi="ar"/>
    </w:rPr>
  </w:style>
  <w:style w:type="paragraph" w:customStyle="1" w:styleId="13">
    <w:name w:val="tdjg"/>
    <w:basedOn w:val="1"/>
    <w:qFormat/>
    <w:uiPriority w:val="0"/>
    <w:pPr>
      <w:pBdr>
        <w:top w:val="single" w:color="000000" w:sz="2" w:space="0"/>
        <w:left w:val="single" w:color="000000" w:sz="2" w:space="0"/>
        <w:bottom w:val="single" w:color="000000" w:sz="2" w:space="0"/>
        <w:right w:val="single" w:color="000000" w:sz="2" w:space="0"/>
      </w:pBdr>
      <w:jc w:val="left"/>
    </w:pPr>
    <w:rPr>
      <w:kern w:val="0"/>
      <w:lang w:val="en-US" w:eastAsia="zh-CN" w:bidi="ar"/>
    </w:rPr>
  </w:style>
  <w:style w:type="paragraph" w:customStyle="1" w:styleId="14">
    <w:name w:val="tdborder"/>
    <w:basedOn w:val="1"/>
    <w:uiPriority w:val="0"/>
    <w:pPr>
      <w:pBdr>
        <w:top w:val="single" w:color="000000" w:sz="6" w:space="0"/>
        <w:left w:val="single" w:color="000000" w:sz="6" w:space="0"/>
        <w:bottom w:val="single" w:color="000000" w:sz="6" w:space="0"/>
        <w:right w:val="single" w:color="000000" w:sz="6" w:space="0"/>
      </w:pBdr>
      <w:jc w:val="left"/>
    </w:pPr>
    <w:rPr>
      <w:kern w:val="0"/>
      <w:lang w:val="en-US" w:eastAsia="zh-CN" w:bidi="ar"/>
    </w:rPr>
  </w:style>
  <w:style w:type="paragraph" w:customStyle="1" w:styleId="15">
    <w:name w:val="formtitle"/>
    <w:basedOn w:val="1"/>
    <w:uiPriority w:val="0"/>
    <w:pPr>
      <w:jc w:val="center"/>
    </w:pPr>
    <w:rPr>
      <w:kern w:val="0"/>
      <w:sz w:val="36"/>
      <w:szCs w:val="36"/>
      <w:lang w:val="en-US" w:eastAsia="zh-CN" w:bidi="ar"/>
    </w:rPr>
  </w:style>
  <w:style w:type="paragraph" w:customStyle="1" w:styleId="16">
    <w:name w:val="exceltable1"/>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17">
    <w:name w:val="tdleft"/>
    <w:basedOn w:val="1"/>
    <w:uiPriority w:val="0"/>
    <w:pPr>
      <w:jc w:val="left"/>
    </w:pPr>
    <w:rPr>
      <w:kern w:val="0"/>
      <w:lang w:val="en-US" w:eastAsia="zh-CN" w:bidi="ar"/>
    </w:rPr>
  </w:style>
  <w:style w:type="paragraph" w:customStyle="1" w:styleId="18">
    <w:name w:val="tdright"/>
    <w:basedOn w:val="1"/>
    <w:qFormat/>
    <w:uiPriority w:val="0"/>
    <w:pPr>
      <w:jc w:val="righ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5136</Words>
  <Characters>5652</Characters>
  <TotalTime>1</TotalTime>
  <ScaleCrop>false</ScaleCrop>
  <LinksUpToDate>false</LinksUpToDate>
  <CharactersWithSpaces>5751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2023-10-23T08:43:00Z</dcterms:created>
  <dc:creator>Administrator</dc:creator>
  <cp:lastModifiedBy>好想吃糖油粑粑</cp:lastModifiedBy>
  <dcterms:modified xsi:type="dcterms:W3CDTF">2023-11-01T03:22:37Z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4D90ECD61D1D402AA95C72B5EC132B97_13</vt:lpwstr>
  </property>
</Properties>
</file>