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2"/>
        <w:tblW w:w="10780" w:type="dxa"/>
        <w:tblInd w:w="-1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91"/>
        <w:gridCol w:w="554"/>
        <w:gridCol w:w="1020"/>
        <w:gridCol w:w="361"/>
        <w:gridCol w:w="1336"/>
        <w:gridCol w:w="1054"/>
        <w:gridCol w:w="1216"/>
        <w:gridCol w:w="400"/>
        <w:gridCol w:w="1063"/>
        <w:gridCol w:w="802"/>
        <w:gridCol w:w="1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516" w:type="dxa"/>
            <w:gridSpan w:val="6"/>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r>
              <w:rPr>
                <w:sz w:val="22"/>
                <w:szCs w:val="22"/>
                <w:bdr w:val="none" w:color="auto" w:sz="0" w:space="0"/>
                <w:lang w:val="en-US"/>
              </w:rPr>
              <w:t>个人提案</w:t>
            </w:r>
          </w:p>
        </w:tc>
        <w:tc>
          <w:tcPr>
            <w:tcW w:w="2679"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社会建设 </w:t>
            </w:r>
            <w:r>
              <w:rPr>
                <w:sz w:val="22"/>
                <w:szCs w:val="22"/>
                <w:bdr w:val="none" w:color="auto" w:sz="0" w:space="0"/>
              </w:rPr>
              <w:t>类</w:t>
            </w:r>
            <w:r>
              <w:rPr>
                <w:sz w:val="22"/>
                <w:szCs w:val="22"/>
                <w:bdr w:val="none" w:color="auto" w:sz="0" w:space="0"/>
                <w:lang w:val="en-US"/>
              </w:rPr>
              <w:t xml:space="preserve"> </w:t>
            </w:r>
          </w:p>
        </w:tc>
        <w:tc>
          <w:tcPr>
            <w:tcW w:w="2578"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112  </w:t>
            </w:r>
            <w:r>
              <w:rPr>
                <w:sz w:val="22"/>
                <w:szCs w:val="22"/>
                <w:bdr w:val="none" w:color="auto" w:sz="0" w:space="0"/>
              </w:rPr>
              <w:t>号</w:t>
            </w:r>
            <w:r>
              <w:rPr>
                <w:sz w:val="22"/>
                <w:szCs w:val="22"/>
                <w:bdr w:val="none" w:color="auto" w:sz="0" w:space="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80" w:type="dxa"/>
            <w:gridSpan w:val="11"/>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b/>
                <w:bCs/>
                <w:sz w:val="22"/>
                <w:szCs w:val="22"/>
                <w:bdr w:val="none" w:color="auto" w:sz="0" w:space="0"/>
              </w:rPr>
              <w:t>湖南省政协</w:t>
            </w:r>
            <w:r>
              <w:rPr>
                <w:b/>
                <w:bCs/>
                <w:sz w:val="22"/>
                <w:szCs w:val="22"/>
                <w:bdr w:val="none" w:color="auto" w:sz="0" w:space="0"/>
                <w:lang w:val="en-US"/>
              </w:rPr>
              <w:t>十三</w:t>
            </w:r>
            <w:r>
              <w:rPr>
                <w:b/>
                <w:bCs/>
                <w:sz w:val="22"/>
                <w:szCs w:val="22"/>
                <w:bdr w:val="none" w:color="auto" w:sz="0" w:space="0"/>
              </w:rPr>
              <w:t>届</w:t>
            </w:r>
            <w:r>
              <w:rPr>
                <w:b/>
                <w:bCs/>
                <w:sz w:val="22"/>
                <w:szCs w:val="22"/>
                <w:bdr w:val="none" w:color="auto" w:sz="0" w:space="0"/>
                <w:lang w:val="en-US"/>
              </w:rPr>
              <w:t>一</w:t>
            </w:r>
            <w:r>
              <w:rPr>
                <w:b/>
                <w:bCs/>
                <w:sz w:val="22"/>
                <w:szCs w:val="22"/>
                <w:bdr w:val="none" w:color="auto" w:sz="0" w:space="0"/>
              </w:rPr>
              <w:t>次会议第</w:t>
            </w:r>
            <w:r>
              <w:rPr>
                <w:b/>
                <w:bCs/>
                <w:sz w:val="22"/>
                <w:szCs w:val="22"/>
                <w:bdr w:val="none" w:color="auto" w:sz="0" w:space="0"/>
                <w:lang w:val="en-US"/>
              </w:rPr>
              <w:t>0487</w:t>
            </w:r>
            <w:r>
              <w:rPr>
                <w:b/>
                <w:bCs/>
                <w:sz w:val="22"/>
                <w:szCs w:val="22"/>
                <w:bdr w:val="none" w:color="auto" w:sz="0" w:space="0"/>
              </w:rPr>
              <w:t>号提案</w:t>
            </w:r>
            <w:r>
              <w:rPr>
                <w:sz w:val="22"/>
                <w:szCs w:val="22"/>
                <w:bdr w:val="none" w:color="auto" w:sz="0" w:space="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案由</w:t>
            </w:r>
          </w:p>
        </w:tc>
        <w:tc>
          <w:tcPr>
            <w:tcW w:w="9028" w:type="dxa"/>
            <w:gridSpan w:val="9"/>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rFonts w:hint="default" w:ascii="Consolas" w:hAnsi="Consolas" w:eastAsia="Consolas" w:cs="Consolas"/>
                <w:color w:val="222222"/>
                <w:sz w:val="18"/>
                <w:szCs w:val="18"/>
                <w:bdr w:val="none" w:color="auto" w:sz="0" w:space="0"/>
                <w:shd w:val="clear" w:fill="FFFFFF"/>
                <w:lang w:val="en-US"/>
              </w:rPr>
              <w:t>关于DRG背景下三级中医院发展应对问题的建议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1745"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提案人</w:t>
            </w:r>
          </w:p>
        </w:tc>
        <w:tc>
          <w:tcPr>
            <w:tcW w:w="7252" w:type="dxa"/>
            <w:gridSpan w:val="8"/>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匡建军 等</w:t>
            </w:r>
          </w:p>
        </w:tc>
        <w:tc>
          <w:tcPr>
            <w:tcW w:w="1776" w:type="dxa"/>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共</w:t>
            </w:r>
            <w:r>
              <w:rPr>
                <w:sz w:val="22"/>
                <w:szCs w:val="22"/>
                <w:bdr w:val="none" w:color="auto" w:sz="0" w:space="0"/>
                <w:lang w:val="en-US"/>
              </w:rPr>
              <w:t xml:space="preserve">1 </w:t>
            </w:r>
            <w:r>
              <w:rPr>
                <w:sz w:val="22"/>
                <w:szCs w:val="22"/>
                <w:bdr w:val="none" w:color="auto" w:sz="0" w:space="0"/>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1745"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界别</w:t>
            </w:r>
          </w:p>
        </w:tc>
        <w:tc>
          <w:tcPr>
            <w:tcW w:w="3771" w:type="dxa"/>
            <w:gridSpan w:val="4"/>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医药卫生界</w:t>
            </w:r>
          </w:p>
        </w:tc>
        <w:tc>
          <w:tcPr>
            <w:tcW w:w="1616"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委员证号</w:t>
            </w:r>
          </w:p>
        </w:tc>
        <w:tc>
          <w:tcPr>
            <w:tcW w:w="3641" w:type="dxa"/>
            <w:gridSpan w:val="3"/>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1745"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邮政编码</w:t>
            </w:r>
          </w:p>
        </w:tc>
        <w:tc>
          <w:tcPr>
            <w:tcW w:w="3771" w:type="dxa"/>
            <w:gridSpan w:val="4"/>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c>
          <w:tcPr>
            <w:tcW w:w="1616"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E-mail</w:t>
            </w:r>
          </w:p>
        </w:tc>
        <w:tc>
          <w:tcPr>
            <w:tcW w:w="3641" w:type="dxa"/>
            <w:gridSpan w:val="3"/>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1745"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color w:val="FF0000"/>
                <w:sz w:val="22"/>
                <w:szCs w:val="22"/>
                <w:bdr w:val="none" w:color="auto" w:sz="0" w:space="0"/>
                <w:lang w:val="en-US"/>
              </w:rPr>
            </w:pPr>
            <w:r>
              <w:rPr>
                <w:color w:val="FF0000"/>
                <w:sz w:val="22"/>
                <w:szCs w:val="22"/>
                <w:bdr w:val="none" w:color="auto" w:sz="0" w:space="0"/>
              </w:rPr>
              <w:t>所属专委会</w:t>
            </w:r>
          </w:p>
        </w:tc>
        <w:tc>
          <w:tcPr>
            <w:tcW w:w="3771" w:type="dxa"/>
            <w:gridSpan w:val="4"/>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文教卫体和文史委员会</w:t>
            </w:r>
          </w:p>
        </w:tc>
        <w:tc>
          <w:tcPr>
            <w:tcW w:w="1616"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color w:val="FF0000"/>
                <w:sz w:val="22"/>
                <w:szCs w:val="22"/>
                <w:bdr w:val="none" w:color="auto" w:sz="0" w:space="0"/>
                <w:lang w:val="en-US"/>
              </w:rPr>
            </w:pPr>
            <w:r>
              <w:rPr>
                <w:color w:val="FF0000"/>
                <w:sz w:val="22"/>
                <w:szCs w:val="22"/>
                <w:bdr w:val="none" w:color="auto" w:sz="0" w:space="0"/>
              </w:rPr>
              <w:t>所驻地市</w:t>
            </w:r>
          </w:p>
        </w:tc>
        <w:tc>
          <w:tcPr>
            <w:tcW w:w="3641" w:type="dxa"/>
            <w:gridSpan w:val="3"/>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湖南省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3" w:hRule="atLeast"/>
        </w:trPr>
        <w:tc>
          <w:tcPr>
            <w:tcW w:w="1745"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color w:val="FF0000"/>
                <w:sz w:val="22"/>
                <w:szCs w:val="22"/>
                <w:bdr w:val="none" w:color="auto" w:sz="0" w:space="0"/>
                <w:lang w:val="en-US"/>
              </w:rPr>
            </w:pPr>
            <w:r>
              <w:rPr>
                <w:color w:val="FF0000"/>
                <w:sz w:val="22"/>
                <w:szCs w:val="22"/>
                <w:bdr w:val="none" w:color="auto" w:sz="0" w:space="0"/>
              </w:rPr>
              <w:t>单位职务</w:t>
            </w:r>
          </w:p>
        </w:tc>
        <w:tc>
          <w:tcPr>
            <w:tcW w:w="9028" w:type="dxa"/>
            <w:gridSpan w:val="9"/>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省中医药研究院中药临床药理研究所所长、科研工作部副部长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color w:val="FF0000"/>
                <w:sz w:val="22"/>
                <w:szCs w:val="22"/>
                <w:bdr w:val="none" w:color="auto" w:sz="0" w:space="0"/>
                <w:lang w:val="en-US"/>
              </w:rPr>
            </w:pPr>
            <w:r>
              <w:rPr>
                <w:color w:val="FF0000"/>
                <w:sz w:val="22"/>
                <w:szCs w:val="22"/>
                <w:bdr w:val="none" w:color="auto" w:sz="0" w:space="0"/>
              </w:rPr>
              <w:t>通讯地址</w:t>
            </w:r>
            <w:r>
              <w:rPr>
                <w:color w:val="FF0000"/>
                <w:sz w:val="22"/>
                <w:szCs w:val="22"/>
                <w:bdr w:val="none" w:color="auto" w:sz="0" w:space="0"/>
                <w:lang w:val="en-US"/>
              </w:rPr>
              <w:t xml:space="preserve"> </w:t>
            </w:r>
          </w:p>
        </w:tc>
        <w:tc>
          <w:tcPr>
            <w:tcW w:w="9028" w:type="dxa"/>
            <w:gridSpan w:val="9"/>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color w:val="FF0000"/>
                <w:sz w:val="22"/>
                <w:szCs w:val="22"/>
                <w:bdr w:val="none" w:color="auto" w:sz="0" w:space="0"/>
                <w:lang w:val="en-US"/>
              </w:rPr>
            </w:pPr>
            <w:r>
              <w:rPr>
                <w:color w:val="FF0000"/>
                <w:sz w:val="22"/>
                <w:szCs w:val="22"/>
                <w:bdr w:val="none" w:color="auto" w:sz="0" w:space="0"/>
              </w:rPr>
              <w:t>联系电话</w:t>
            </w:r>
          </w:p>
        </w:tc>
        <w:tc>
          <w:tcPr>
            <w:tcW w:w="9028" w:type="dxa"/>
            <w:gridSpan w:val="9"/>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是否公开发表</w:t>
            </w:r>
          </w:p>
        </w:tc>
        <w:tc>
          <w:tcPr>
            <w:tcW w:w="377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是</w:t>
            </w:r>
          </w:p>
        </w:tc>
        <w:tc>
          <w:tcPr>
            <w:tcW w:w="1616"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是否同意其他委员参阅</w:t>
            </w:r>
          </w:p>
        </w:tc>
        <w:tc>
          <w:tcPr>
            <w:tcW w:w="3641"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是否经过调研</w:t>
            </w:r>
          </w:p>
        </w:tc>
        <w:tc>
          <w:tcPr>
            <w:tcW w:w="377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是</w:t>
            </w:r>
          </w:p>
        </w:tc>
        <w:tc>
          <w:tcPr>
            <w:tcW w:w="1616"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是否往年已提</w:t>
            </w:r>
          </w:p>
        </w:tc>
        <w:tc>
          <w:tcPr>
            <w:tcW w:w="3641"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主题词</w:t>
            </w:r>
          </w:p>
        </w:tc>
        <w:tc>
          <w:tcPr>
            <w:tcW w:w="9028" w:type="dxa"/>
            <w:gridSpan w:val="9"/>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希望办理的承办单位</w:t>
            </w:r>
            <w:r>
              <w:rPr>
                <w:sz w:val="22"/>
                <w:szCs w:val="22"/>
                <w:bdr w:val="none" w:color="auto" w:sz="0" w:space="0"/>
                <w:lang w:val="en-US"/>
              </w:rPr>
              <w:t>(</w:t>
            </w:r>
            <w:r>
              <w:rPr>
                <w:sz w:val="22"/>
                <w:szCs w:val="22"/>
                <w:bdr w:val="none" w:color="auto" w:sz="0" w:space="0"/>
              </w:rPr>
              <w:t>供参考</w:t>
            </w:r>
            <w:r>
              <w:rPr>
                <w:sz w:val="22"/>
                <w:szCs w:val="22"/>
                <w:bdr w:val="none" w:color="auto" w:sz="0" w:space="0"/>
                <w:lang w:val="en-US"/>
              </w:rPr>
              <w:t>)</w:t>
            </w:r>
          </w:p>
        </w:tc>
        <w:tc>
          <w:tcPr>
            <w:tcW w:w="9028" w:type="dxa"/>
            <w:gridSpan w:val="9"/>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省医保局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color w:val="FF0000"/>
                <w:sz w:val="22"/>
                <w:szCs w:val="22"/>
                <w:bdr w:val="none" w:color="auto" w:sz="0" w:space="0"/>
                <w:lang w:val="en-US"/>
              </w:rPr>
            </w:pPr>
            <w:r>
              <w:rPr>
                <w:color w:val="FF0000"/>
                <w:sz w:val="22"/>
                <w:szCs w:val="22"/>
                <w:bdr w:val="none" w:color="auto" w:sz="0" w:space="0"/>
              </w:rPr>
              <w:t>提交日期</w:t>
            </w:r>
          </w:p>
        </w:tc>
        <w:tc>
          <w:tcPr>
            <w:tcW w:w="9028" w:type="dxa"/>
            <w:gridSpan w:val="9"/>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2023-01-12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审查意见</w:t>
            </w:r>
            <w:r>
              <w:rPr>
                <w:sz w:val="22"/>
                <w:szCs w:val="22"/>
                <w:bdr w:val="none" w:color="auto" w:sz="0" w:space="0"/>
                <w:lang w:val="en-US"/>
              </w:rPr>
              <w:t xml:space="preserve"> </w:t>
            </w:r>
          </w:p>
        </w:tc>
        <w:tc>
          <w:tcPr>
            <w:tcW w:w="6450" w:type="dxa"/>
            <w:gridSpan w:val="7"/>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c>
          <w:tcPr>
            <w:tcW w:w="2578"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vMerge w:val="restart"/>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rPr>
              <w:t>办理单位</w:t>
            </w:r>
            <w:r>
              <w:rPr>
                <w:sz w:val="22"/>
                <w:szCs w:val="22"/>
                <w:bdr w:val="none" w:color="auto" w:sz="0" w:space="0"/>
                <w:lang w:val="en-US"/>
              </w:rPr>
              <w:t xml:space="preserve"> </w:t>
            </w:r>
          </w:p>
        </w:tc>
        <w:tc>
          <w:tcPr>
            <w:tcW w:w="1020"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主办</w:t>
            </w:r>
          </w:p>
        </w:tc>
        <w:tc>
          <w:tcPr>
            <w:tcW w:w="8008" w:type="dxa"/>
            <w:gridSpan w:val="8"/>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省医保局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vMerge w:val="continue"/>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1020"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会办</w:t>
            </w:r>
          </w:p>
        </w:tc>
        <w:tc>
          <w:tcPr>
            <w:tcW w:w="8008" w:type="dxa"/>
            <w:gridSpan w:val="8"/>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省中医药局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780" w:type="dxa"/>
            <w:gridSpan w:val="11"/>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rPr>
              <w:t>提案内容（包括案由、案据和方案）</w:t>
            </w:r>
            <w:r>
              <w:rPr>
                <w:sz w:val="22"/>
                <w:szCs w:val="22"/>
                <w:bdr w:val="none" w:color="auto" w:sz="0" w:space="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780" w:type="dxa"/>
            <w:gridSpan w:val="11"/>
            <w:tcBorders>
              <w:top w:val="single" w:color="000000" w:sz="6" w:space="0"/>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pStyle w:val="11"/>
              <w:spacing w:before="75" w:beforeAutospacing="0" w:after="75" w:afterAutospacing="0" w:line="600" w:lineRule="atLeast"/>
              <w:ind w:left="0" w:right="0" w:firstLine="645"/>
            </w:pPr>
            <w:r>
              <w:rPr>
                <w:rFonts w:ascii="仿宋_GB2312" w:eastAsia="仿宋_GB2312" w:cs="仿宋_GB2312"/>
                <w:sz w:val="31"/>
                <w:szCs w:val="31"/>
                <w:bdr w:val="none" w:color="auto" w:sz="0" w:space="0"/>
                <w:lang w:val="en-US"/>
              </w:rPr>
              <w:t>当前，医疗保险付费改革是医药卫生体制改革的重要工作之一。DRG付费改革对于优化医保支出、减轻患者负担、保障医保资金安全均具有重要意义。</w:t>
            </w:r>
          </w:p>
          <w:p>
            <w:pPr>
              <w:pStyle w:val="11"/>
              <w:spacing w:before="75" w:beforeAutospacing="0" w:after="75" w:afterAutospacing="0" w:line="600" w:lineRule="atLeast"/>
              <w:ind w:left="0" w:right="0" w:firstLine="645"/>
              <w:jc w:val="both"/>
            </w:pPr>
            <w:r>
              <w:rPr>
                <w:rFonts w:hint="eastAsia" w:ascii="仿宋_GB2312" w:eastAsia="仿宋_GB2312" w:cs="仿宋_GB2312"/>
                <w:sz w:val="31"/>
                <w:szCs w:val="31"/>
                <w:bdr w:val="none" w:color="auto" w:sz="0" w:space="0"/>
                <w:lang w:val="en-US"/>
              </w:rPr>
              <w:t>中医具有完整的理论体系、独特的诊疗手段和确切的治疗效果。刘延东副总理曾提出：</w:t>
            </w:r>
            <w:r>
              <w:rPr>
                <w:rFonts w:ascii="Arial" w:hAnsi="Arial" w:cs="Arial"/>
                <w:sz w:val="31"/>
                <w:szCs w:val="31"/>
                <w:bdr w:val="none" w:color="auto" w:sz="0" w:space="0"/>
                <w:lang w:val="en-US"/>
              </w:rPr>
              <w:t>“</w:t>
            </w:r>
            <w:r>
              <w:rPr>
                <w:rFonts w:hint="eastAsia" w:ascii="仿宋_GB2312" w:eastAsia="仿宋_GB2312" w:cs="仿宋_GB2312"/>
                <w:sz w:val="31"/>
                <w:szCs w:val="31"/>
                <w:bdr w:val="none" w:color="auto" w:sz="0" w:space="0"/>
                <w:lang w:val="en-US"/>
              </w:rPr>
              <w:t>中医具有独特的卫生资源，潜力巨大的经济资源、具有原创优势的科技资源、优秀的文化资源、重要的生态资源</w:t>
            </w:r>
            <w:r>
              <w:rPr>
                <w:rFonts w:hint="default" w:ascii="Arial" w:hAnsi="Arial" w:cs="Arial"/>
                <w:sz w:val="31"/>
                <w:szCs w:val="31"/>
                <w:bdr w:val="none" w:color="auto" w:sz="0" w:space="0"/>
                <w:lang w:val="en-US"/>
              </w:rPr>
              <w:t>”</w:t>
            </w:r>
            <w:r>
              <w:rPr>
                <w:rFonts w:hint="eastAsia" w:ascii="仿宋_GB2312" w:eastAsia="仿宋_GB2312" w:cs="仿宋_GB2312"/>
                <w:sz w:val="31"/>
                <w:szCs w:val="31"/>
                <w:bdr w:val="none" w:color="auto" w:sz="0" w:space="0"/>
                <w:lang w:val="en-US"/>
              </w:rPr>
              <w:t>，这是对中医特色的最好总结。实践证明，DRG的实行可以促使三级医院按照功能定位接诊疑难大病，提升三级中医医院接诊疑难重症的能力，通过经济行为引导推动分级诊疗，有效缓解看病贵的问题。但改革中也暴露出一些具体问题：</w:t>
            </w:r>
          </w:p>
          <w:p>
            <w:pPr>
              <w:pStyle w:val="11"/>
              <w:spacing w:before="75" w:beforeAutospacing="0" w:after="75" w:afterAutospacing="0" w:line="600" w:lineRule="atLeast"/>
              <w:ind w:left="0" w:right="0" w:firstLine="645"/>
              <w:jc w:val="both"/>
            </w:pPr>
            <w:r>
              <w:rPr>
                <w:rFonts w:hint="eastAsia" w:ascii="仿宋_GB2312" w:eastAsia="仿宋_GB2312" w:cs="仿宋_GB2312"/>
                <w:sz w:val="31"/>
                <w:szCs w:val="31"/>
                <w:bdr w:val="none" w:color="auto" w:sz="0" w:space="0"/>
                <w:lang w:val="en-US"/>
              </w:rPr>
              <w:t>1.我省现行的DRG付费方案主要以西医诊疗相关信息进行分组，很难反映中医疾病证型，也不能准确反映中医辨证施治下的操作及治疗过程。对于同样的疾病，综合性医院倾向于选择手术治疗，而中医医院常以发挥传统特色医学为主，更多鼓励人工手法复位、针灸、推拿、小针刀、拔罐等，但在DRG分组时因是否使用手术治疗而进入不同的DRG病组，点数计算以及费用结算水平差异较大，中医特色优势明显的病组支付标准过低，制约了中医特色优势的发挥。</w:t>
            </w:r>
          </w:p>
          <w:p>
            <w:pPr>
              <w:pStyle w:val="11"/>
              <w:spacing w:before="75" w:beforeAutospacing="0" w:after="75" w:afterAutospacing="0" w:line="600" w:lineRule="atLeast"/>
              <w:ind w:left="0" w:right="0" w:firstLine="645"/>
              <w:jc w:val="both"/>
            </w:pPr>
            <w:r>
              <w:rPr>
                <w:rFonts w:hint="eastAsia" w:ascii="仿宋_GB2312" w:eastAsia="仿宋_GB2312" w:cs="仿宋_GB2312"/>
                <w:sz w:val="31"/>
                <w:szCs w:val="31"/>
                <w:bdr w:val="none" w:color="auto" w:sz="0" w:space="0"/>
                <w:lang w:val="en-US"/>
              </w:rPr>
              <w:t>2.西医诊断编码无法匹配中医诊疗模式。受限于国际疾病分类中现代医学与传统医学工作的进展，中西医编码尚未实现衔接一致。DRG是以疾病性质为主的医疗费用结算方式，最终结算的依据是病案首页信息，这种体系使用均为西医病案首页，而传统中医技术和中医治疗在DRG分组中无法匹配及体现。</w:t>
            </w:r>
          </w:p>
          <w:p>
            <w:pPr>
              <w:pStyle w:val="11"/>
              <w:spacing w:before="75" w:beforeAutospacing="0" w:after="75" w:afterAutospacing="0" w:line="600" w:lineRule="atLeast"/>
              <w:ind w:left="0" w:right="0" w:firstLine="645"/>
              <w:jc w:val="both"/>
            </w:pPr>
            <w:r>
              <w:rPr>
                <w:rFonts w:hint="eastAsia" w:ascii="仿宋_GB2312" w:eastAsia="仿宋_GB2312" w:cs="仿宋_GB2312"/>
                <w:sz w:val="31"/>
                <w:szCs w:val="31"/>
                <w:bdr w:val="none" w:color="auto" w:sz="0" w:space="0"/>
                <w:lang w:val="en-US"/>
              </w:rPr>
              <w:t>3.西医分组付费有悖中西医并重原则。中医院的多数病种治疗以中西医结合为主，中西医结合治疗的成本可能要高于单纯西医治疗，西医DRG分组及成本计算的规则将会压缩其中的中医治疗成本，不利于中医药的发展。</w:t>
            </w:r>
          </w:p>
          <w:p>
            <w:pPr>
              <w:pStyle w:val="11"/>
              <w:spacing w:before="75" w:beforeAutospacing="0" w:after="75" w:afterAutospacing="0" w:line="600" w:lineRule="atLeast"/>
              <w:ind w:left="0" w:right="0" w:firstLine="645"/>
              <w:jc w:val="both"/>
            </w:pPr>
            <w:r>
              <w:rPr>
                <w:rFonts w:hint="eastAsia" w:ascii="仿宋_GB2312" w:eastAsia="仿宋_GB2312" w:cs="仿宋_GB2312"/>
                <w:sz w:val="31"/>
                <w:szCs w:val="31"/>
                <w:bdr w:val="none" w:color="auto" w:sz="0" w:space="0"/>
                <w:lang w:val="en-US"/>
              </w:rPr>
              <w:t>针对以上突出问题，特提出以下建议：</w:t>
            </w:r>
          </w:p>
          <w:p>
            <w:pPr>
              <w:pStyle w:val="11"/>
              <w:spacing w:before="75" w:beforeAutospacing="0" w:after="75" w:afterAutospacing="0" w:line="600" w:lineRule="atLeast"/>
              <w:ind w:left="0" w:right="0" w:firstLine="645"/>
              <w:jc w:val="both"/>
            </w:pPr>
            <w:r>
              <w:rPr>
                <w:rFonts w:hint="eastAsia" w:ascii="仿宋_GB2312" w:eastAsia="仿宋_GB2312" w:cs="仿宋_GB2312"/>
                <w:sz w:val="31"/>
                <w:szCs w:val="31"/>
                <w:bdr w:val="none" w:color="auto" w:sz="0" w:space="0"/>
                <w:lang w:val="en-US"/>
              </w:rPr>
              <w:t>1.遴选临床路径和中医优势病种。建议省市卫生健康委员会要求各定点公立医疗机构，结合各自医院实际情况，在国家版临床路径的基础上制定符合本院实际的临床路径并组织实施。遴选一批省内代表性的三甲中医院，在国内有一定影响力的病种作为优势病种，如湖南中医药大学第一附属医院的肝硬化、青光眼、慢性心衰等；第二附属医院的混合痔、肛瘘、湿疹、银屑病等；湖南省中西医结合医院的肝癌、肠癌、中风后遗症、骨伤等），邀请专家进行论证，作为第一批中医分组试行病种。</w:t>
            </w:r>
          </w:p>
          <w:p>
            <w:pPr>
              <w:pStyle w:val="11"/>
              <w:spacing w:before="75" w:beforeAutospacing="0" w:after="75" w:afterAutospacing="0" w:line="600" w:lineRule="atLeast"/>
              <w:ind w:left="0" w:right="0" w:firstLine="645"/>
              <w:jc w:val="both"/>
            </w:pPr>
            <w:r>
              <w:rPr>
                <w:rFonts w:hint="eastAsia" w:ascii="仿宋_GB2312" w:eastAsia="仿宋_GB2312" w:cs="仿宋_GB2312"/>
                <w:sz w:val="31"/>
                <w:szCs w:val="31"/>
                <w:bdr w:val="none" w:color="auto" w:sz="0" w:space="0"/>
                <w:lang w:val="en-US"/>
              </w:rPr>
              <w:t>2.建立标准化的中医病案首页数据。中西医手术操作、诊断编码关联工作是中医院进行 DRG改革的迫切需求，对中医治法、病证是否能正确入组起到至关重要的作用。对于中医优势病种，中医治疗可达到与西医治疗同样疗效，须在DRG的编码库中增补中医疾病证型，统一中西医病名对照和操作诊断编码，采集主病编码、主证编码等中医住院病案首页信息，使其能够按照西医DRG病组付费标准的一定百分比予以支付。</w:t>
            </w:r>
          </w:p>
          <w:p>
            <w:pPr>
              <w:pStyle w:val="11"/>
              <w:spacing w:before="75" w:beforeAutospacing="0" w:after="75" w:afterAutospacing="0" w:line="600" w:lineRule="atLeast"/>
              <w:ind w:left="0" w:right="0" w:firstLine="645"/>
              <w:jc w:val="both"/>
            </w:pPr>
            <w:r>
              <w:rPr>
                <w:rFonts w:hint="eastAsia" w:ascii="仿宋_GB2312" w:eastAsia="仿宋_GB2312" w:cs="仿宋_GB2312"/>
                <w:sz w:val="31"/>
                <w:szCs w:val="31"/>
                <w:bdr w:val="none" w:color="auto" w:sz="0" w:space="0"/>
                <w:lang w:val="en-US"/>
              </w:rPr>
              <w:t>3.建立科学合理的DRG分组和灵活的付费考核机制。建议推广中西医</w:t>
            </w:r>
            <w:r>
              <w:rPr>
                <w:rFonts w:hint="default" w:ascii="Arial" w:hAnsi="Arial" w:cs="Arial"/>
                <w:sz w:val="31"/>
                <w:szCs w:val="31"/>
                <w:bdr w:val="none" w:color="auto" w:sz="0" w:space="0"/>
                <w:lang w:val="en-US"/>
              </w:rPr>
              <w:t>“</w:t>
            </w:r>
            <w:r>
              <w:rPr>
                <w:rFonts w:hint="eastAsia" w:ascii="仿宋_GB2312" w:eastAsia="仿宋_GB2312" w:cs="仿宋_GB2312"/>
                <w:sz w:val="31"/>
                <w:szCs w:val="31"/>
                <w:bdr w:val="none" w:color="auto" w:sz="0" w:space="0"/>
                <w:lang w:val="en-US"/>
              </w:rPr>
              <w:t>同病、异治、优质、同价</w:t>
            </w:r>
            <w:r>
              <w:rPr>
                <w:rFonts w:hint="default" w:ascii="Arial" w:hAnsi="Arial" w:cs="Arial"/>
                <w:sz w:val="31"/>
                <w:szCs w:val="31"/>
                <w:bdr w:val="none" w:color="auto" w:sz="0" w:space="0"/>
                <w:lang w:val="en-US"/>
              </w:rPr>
              <w:t>”</w:t>
            </w:r>
            <w:r>
              <w:rPr>
                <w:rFonts w:hint="eastAsia" w:ascii="仿宋_GB2312" w:eastAsia="仿宋_GB2312" w:cs="仿宋_GB2312"/>
                <w:sz w:val="31"/>
                <w:szCs w:val="31"/>
                <w:bdr w:val="none" w:color="auto" w:sz="0" w:space="0"/>
                <w:lang w:val="en-US"/>
              </w:rPr>
              <w:t>的诊疗原则，鼓励使用传统中医疗法对部分疾病进行诊治。实行中西医同病同效同价，按疗效价值付费结合DRG付费。如三明市在全国率先新增</w:t>
            </w:r>
            <w:r>
              <w:rPr>
                <w:rFonts w:hint="default" w:ascii="Arial" w:hAnsi="Arial" w:cs="Arial"/>
                <w:sz w:val="31"/>
                <w:szCs w:val="31"/>
                <w:bdr w:val="none" w:color="auto" w:sz="0" w:space="0"/>
                <w:lang w:val="en-US"/>
              </w:rPr>
              <w:t>“</w:t>
            </w:r>
            <w:r>
              <w:rPr>
                <w:rFonts w:hint="eastAsia" w:ascii="仿宋_GB2312" w:eastAsia="仿宋_GB2312" w:cs="仿宋_GB2312"/>
                <w:sz w:val="31"/>
                <w:szCs w:val="31"/>
                <w:bdr w:val="none" w:color="auto" w:sz="0" w:space="0"/>
                <w:lang w:val="en-US"/>
              </w:rPr>
              <w:t>上肢（或下肢）普通（或复杂）骨折手法整复固定术、关节脱位手法整复固定术</w:t>
            </w:r>
            <w:r>
              <w:rPr>
                <w:rFonts w:hint="default" w:ascii="Arial" w:hAnsi="Arial" w:cs="Arial"/>
                <w:sz w:val="31"/>
                <w:szCs w:val="31"/>
                <w:bdr w:val="none" w:color="auto" w:sz="0" w:space="0"/>
                <w:lang w:val="en-US"/>
              </w:rPr>
              <w:t>”</w:t>
            </w:r>
            <w:r>
              <w:rPr>
                <w:rFonts w:hint="eastAsia" w:ascii="仿宋_GB2312" w:eastAsia="仿宋_GB2312" w:cs="仿宋_GB2312"/>
                <w:sz w:val="31"/>
                <w:szCs w:val="31"/>
                <w:bdr w:val="none" w:color="auto" w:sz="0" w:space="0"/>
                <w:lang w:val="en-US"/>
              </w:rPr>
              <w:t>5个 C-DRG中医病组，收费与手术治疗标准相同。</w:t>
            </w:r>
          </w:p>
          <w:p>
            <w:pPr>
              <w:pStyle w:val="11"/>
            </w:pPr>
            <w:r>
              <w:rPr>
                <w:rFonts w:hint="eastAsia" w:ascii="仿宋_GB2312" w:eastAsia="仿宋_GB2312" w:cs="仿宋_GB2312"/>
                <w:sz w:val="31"/>
                <w:szCs w:val="31"/>
                <w:bdr w:val="none" w:color="auto" w:sz="0" w:space="0"/>
                <w:lang w:val="en-US"/>
              </w:rPr>
              <w:t>      4.提高中医操作项目的收费标准，同时细化标准。例如针对不同部位的针灸，以及结合难易程度、风险程度的差别，给予设定不同的收费标准。 党的二十大明确提出要</w:t>
            </w:r>
            <w:r>
              <w:rPr>
                <w:rFonts w:hint="default" w:ascii="Arial" w:hAnsi="Arial" w:cs="Arial"/>
                <w:sz w:val="31"/>
                <w:szCs w:val="31"/>
                <w:bdr w:val="none" w:color="auto" w:sz="0" w:space="0"/>
                <w:lang w:val="en-US"/>
              </w:rPr>
              <w:t>“</w:t>
            </w:r>
            <w:r>
              <w:rPr>
                <w:rFonts w:hint="eastAsia" w:ascii="仿宋_GB2312" w:eastAsia="仿宋_GB2312" w:cs="仿宋_GB2312"/>
                <w:sz w:val="31"/>
                <w:szCs w:val="31"/>
                <w:bdr w:val="none" w:color="auto" w:sz="0" w:space="0"/>
                <w:lang w:val="en-US"/>
              </w:rPr>
              <w:t>促进中医药传承创新发展</w:t>
            </w:r>
            <w:r>
              <w:rPr>
                <w:rFonts w:hint="default" w:ascii="Arial" w:hAnsi="Arial" w:cs="Arial"/>
                <w:sz w:val="31"/>
                <w:szCs w:val="31"/>
                <w:bdr w:val="none" w:color="auto" w:sz="0" w:space="0"/>
                <w:lang w:val="en-US"/>
              </w:rPr>
              <w:t>”</w:t>
            </w:r>
            <w:r>
              <w:rPr>
                <w:rFonts w:hint="eastAsia" w:ascii="仿宋_GB2312" w:eastAsia="仿宋_GB2312" w:cs="仿宋_GB2312"/>
                <w:sz w:val="31"/>
                <w:szCs w:val="31"/>
                <w:bdr w:val="none" w:color="auto" w:sz="0" w:space="0"/>
                <w:lang w:val="en-US"/>
              </w:rPr>
              <w:t>。我省作为医疗大省，积极开展中医DRG付费改革，最大程度上保证医、保、患多方利益、享受到改革的红利，对于促进中医药事业传承创新发展有重要意义。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780" w:type="dxa"/>
            <w:gridSpan w:val="11"/>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b/>
                <w:bCs w:val="0"/>
                <w:sz w:val="22"/>
                <w:szCs w:val="22"/>
                <w:bdr w:val="none" w:color="auto" w:sz="0" w:space="0"/>
                <w:lang w:val="en-US"/>
              </w:rPr>
            </w:pPr>
            <w:r>
              <w:rPr>
                <w:b/>
                <w:bCs w:val="0"/>
                <w:sz w:val="22"/>
                <w:szCs w:val="22"/>
                <w:bdr w:val="none" w:color="auto" w:sz="0" w:space="0"/>
              </w:rPr>
              <w:t>联系人</w:t>
            </w:r>
            <w:r>
              <w:rPr>
                <w:b/>
                <w:bCs w:val="0"/>
                <w:sz w:val="22"/>
                <w:szCs w:val="22"/>
                <w:bdr w:val="none" w:color="auto" w:sz="0" w:space="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91"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2"/>
                <w:szCs w:val="22"/>
                <w:bdr w:val="none" w:color="auto" w:sz="0" w:space="0"/>
              </w:rPr>
              <w:t>姓名</w:t>
            </w:r>
          </w:p>
        </w:tc>
        <w:tc>
          <w:tcPr>
            <w:tcW w:w="327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2"/>
                <w:szCs w:val="22"/>
                <w:bdr w:val="none" w:color="auto" w:sz="0" w:space="0"/>
              </w:rPr>
              <w:t>联系电话</w:t>
            </w:r>
          </w:p>
        </w:tc>
        <w:tc>
          <w:tcPr>
            <w:tcW w:w="6311" w:type="dxa"/>
            <w:gridSpan w:val="6"/>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2"/>
                <w:szCs w:val="22"/>
                <w:bdr w:val="none" w:color="auto" w:sz="0" w:space="0"/>
              </w:rPr>
              <w:t>通讯地址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780" w:type="dxa"/>
            <w:gridSpan w:val="11"/>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b/>
                <w:bCs w:val="0"/>
                <w:sz w:val="22"/>
                <w:szCs w:val="22"/>
                <w:bdr w:val="none" w:color="auto" w:sz="0" w:space="0"/>
                <w:lang w:val="en-US"/>
              </w:rPr>
            </w:pPr>
            <w:r>
              <w:rPr>
                <w:b/>
                <w:bCs w:val="0"/>
                <w:sz w:val="22"/>
                <w:szCs w:val="22"/>
                <w:bdr w:val="none" w:color="auto" w:sz="0" w:space="0"/>
              </w:rPr>
              <w:t>联名人</w:t>
            </w:r>
            <w:r>
              <w:rPr>
                <w:b/>
                <w:bCs w:val="0"/>
                <w:sz w:val="22"/>
                <w:szCs w:val="22"/>
                <w:bdr w:val="none" w:color="auto" w:sz="0" w:space="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91"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2"/>
                <w:szCs w:val="22"/>
                <w:bdr w:val="none" w:color="auto" w:sz="0" w:space="0"/>
              </w:rPr>
              <w:t>姓名</w:t>
            </w:r>
          </w:p>
        </w:tc>
        <w:tc>
          <w:tcPr>
            <w:tcW w:w="1935"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0"/>
                <w:szCs w:val="20"/>
                <w:bdr w:val="none" w:color="auto" w:sz="0" w:space="0"/>
              </w:rPr>
              <w:t>委员证号</w:t>
            </w:r>
          </w:p>
        </w:tc>
        <w:tc>
          <w:tcPr>
            <w:tcW w:w="1336"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0"/>
                <w:szCs w:val="20"/>
                <w:bdr w:val="none" w:color="auto" w:sz="0" w:space="0"/>
              </w:rPr>
              <w:t>界别</w:t>
            </w:r>
          </w:p>
        </w:tc>
        <w:tc>
          <w:tcPr>
            <w:tcW w:w="2270"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2"/>
                <w:szCs w:val="22"/>
                <w:bdr w:val="none" w:color="auto" w:sz="0" w:space="0"/>
              </w:rPr>
              <w:t>联系电话</w:t>
            </w:r>
          </w:p>
        </w:tc>
        <w:tc>
          <w:tcPr>
            <w:tcW w:w="404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2"/>
                <w:szCs w:val="22"/>
                <w:bdr w:val="none" w:color="auto" w:sz="0" w:space="0"/>
              </w:rPr>
              <w:t>通讯地址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91"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姚金成</w:t>
            </w:r>
          </w:p>
        </w:tc>
        <w:tc>
          <w:tcPr>
            <w:tcW w:w="1935"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p>
        </w:tc>
        <w:tc>
          <w:tcPr>
            <w:tcW w:w="1336"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r>
              <w:rPr>
                <w:sz w:val="20"/>
                <w:szCs w:val="20"/>
                <w:bdr w:val="none" w:color="auto" w:sz="0" w:space="0"/>
                <w:lang w:val="en-US"/>
              </w:rPr>
              <w:t>医药卫生界</w:t>
            </w:r>
          </w:p>
        </w:tc>
        <w:tc>
          <w:tcPr>
            <w:tcW w:w="2270"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c>
          <w:tcPr>
            <w:tcW w:w="404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91"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吴飞驰</w:t>
            </w:r>
          </w:p>
        </w:tc>
        <w:tc>
          <w:tcPr>
            <w:tcW w:w="1935"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p>
        </w:tc>
        <w:tc>
          <w:tcPr>
            <w:tcW w:w="1336"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r>
              <w:rPr>
                <w:sz w:val="20"/>
                <w:szCs w:val="20"/>
                <w:bdr w:val="none" w:color="auto" w:sz="0" w:space="0"/>
                <w:lang w:val="en-US"/>
              </w:rPr>
              <w:t>医药卫生界</w:t>
            </w:r>
          </w:p>
        </w:tc>
        <w:tc>
          <w:tcPr>
            <w:tcW w:w="2270"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c>
          <w:tcPr>
            <w:tcW w:w="404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91"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周赟</w:t>
            </w:r>
          </w:p>
        </w:tc>
        <w:tc>
          <w:tcPr>
            <w:tcW w:w="1935"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p>
        </w:tc>
        <w:tc>
          <w:tcPr>
            <w:tcW w:w="1336"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r>
              <w:rPr>
                <w:sz w:val="20"/>
                <w:szCs w:val="20"/>
                <w:bdr w:val="none" w:color="auto" w:sz="0" w:space="0"/>
                <w:lang w:val="en-US"/>
              </w:rPr>
              <w:t>医药卫生界</w:t>
            </w:r>
          </w:p>
        </w:tc>
        <w:tc>
          <w:tcPr>
            <w:tcW w:w="2270"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c>
          <w:tcPr>
            <w:tcW w:w="404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91"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龙达</w:t>
            </w:r>
          </w:p>
        </w:tc>
        <w:tc>
          <w:tcPr>
            <w:tcW w:w="1935"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p>
        </w:tc>
        <w:tc>
          <w:tcPr>
            <w:tcW w:w="1336"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r>
              <w:rPr>
                <w:sz w:val="20"/>
                <w:szCs w:val="20"/>
                <w:bdr w:val="none" w:color="auto" w:sz="0" w:space="0"/>
                <w:lang w:val="en-US"/>
              </w:rPr>
              <w:t>农工党</w:t>
            </w:r>
          </w:p>
        </w:tc>
        <w:tc>
          <w:tcPr>
            <w:tcW w:w="2270"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c>
          <w:tcPr>
            <w:tcW w:w="404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91"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邓奕辉</w:t>
            </w:r>
          </w:p>
        </w:tc>
        <w:tc>
          <w:tcPr>
            <w:tcW w:w="1935"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p>
        </w:tc>
        <w:tc>
          <w:tcPr>
            <w:tcW w:w="1336"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r>
              <w:rPr>
                <w:sz w:val="20"/>
                <w:szCs w:val="20"/>
                <w:bdr w:val="none" w:color="auto" w:sz="0" w:space="0"/>
                <w:lang w:val="en-US"/>
              </w:rPr>
              <w:t>医药卫生界</w:t>
            </w:r>
          </w:p>
        </w:tc>
        <w:tc>
          <w:tcPr>
            <w:tcW w:w="2270"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c>
          <w:tcPr>
            <w:tcW w:w="404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91"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陈丽君</w:t>
            </w:r>
          </w:p>
        </w:tc>
        <w:tc>
          <w:tcPr>
            <w:tcW w:w="1935"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p>
        </w:tc>
        <w:tc>
          <w:tcPr>
            <w:tcW w:w="1336"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r>
              <w:rPr>
                <w:sz w:val="20"/>
                <w:szCs w:val="20"/>
                <w:bdr w:val="none" w:color="auto" w:sz="0" w:space="0"/>
                <w:lang w:val="en-US"/>
              </w:rPr>
              <w:t>医药卫生界</w:t>
            </w:r>
          </w:p>
        </w:tc>
        <w:tc>
          <w:tcPr>
            <w:tcW w:w="2270"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c>
          <w:tcPr>
            <w:tcW w:w="404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91"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田海清</w:t>
            </w:r>
          </w:p>
        </w:tc>
        <w:tc>
          <w:tcPr>
            <w:tcW w:w="1935"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p>
        </w:tc>
        <w:tc>
          <w:tcPr>
            <w:tcW w:w="1336"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r>
              <w:rPr>
                <w:sz w:val="20"/>
                <w:szCs w:val="20"/>
                <w:bdr w:val="none" w:color="auto" w:sz="0" w:space="0"/>
                <w:lang w:val="en-US"/>
              </w:rPr>
              <w:t>农工党</w:t>
            </w:r>
          </w:p>
        </w:tc>
        <w:tc>
          <w:tcPr>
            <w:tcW w:w="2270"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c>
          <w:tcPr>
            <w:tcW w:w="404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91"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陈飞豹</w:t>
            </w:r>
          </w:p>
        </w:tc>
        <w:tc>
          <w:tcPr>
            <w:tcW w:w="1935"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p>
        </w:tc>
        <w:tc>
          <w:tcPr>
            <w:tcW w:w="1336"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r>
              <w:rPr>
                <w:sz w:val="20"/>
                <w:szCs w:val="20"/>
                <w:bdr w:val="none" w:color="auto" w:sz="0" w:space="0"/>
                <w:lang w:val="en-US"/>
              </w:rPr>
              <w:t>医药卫生界</w:t>
            </w:r>
          </w:p>
        </w:tc>
        <w:tc>
          <w:tcPr>
            <w:tcW w:w="2270"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c>
          <w:tcPr>
            <w:tcW w:w="404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91"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姚媛贞</w:t>
            </w:r>
          </w:p>
        </w:tc>
        <w:tc>
          <w:tcPr>
            <w:tcW w:w="1935"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p>
        </w:tc>
        <w:tc>
          <w:tcPr>
            <w:tcW w:w="1336"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r>
              <w:rPr>
                <w:sz w:val="20"/>
                <w:szCs w:val="20"/>
                <w:bdr w:val="none" w:color="auto" w:sz="0" w:space="0"/>
                <w:lang w:val="en-US"/>
              </w:rPr>
              <w:t>农工党</w:t>
            </w:r>
          </w:p>
        </w:tc>
        <w:tc>
          <w:tcPr>
            <w:tcW w:w="2270"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c>
          <w:tcPr>
            <w:tcW w:w="404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91"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钟白云</w:t>
            </w:r>
          </w:p>
        </w:tc>
        <w:tc>
          <w:tcPr>
            <w:tcW w:w="1935"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p>
        </w:tc>
        <w:tc>
          <w:tcPr>
            <w:tcW w:w="1336"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r>
              <w:rPr>
                <w:sz w:val="20"/>
                <w:szCs w:val="20"/>
                <w:bdr w:val="none" w:color="auto" w:sz="0" w:space="0"/>
                <w:lang w:val="en-US"/>
              </w:rPr>
              <w:t>医药卫生界</w:t>
            </w:r>
          </w:p>
        </w:tc>
        <w:tc>
          <w:tcPr>
            <w:tcW w:w="2270"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c>
          <w:tcPr>
            <w:tcW w:w="404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91"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彭克俭</w:t>
            </w:r>
          </w:p>
        </w:tc>
        <w:tc>
          <w:tcPr>
            <w:tcW w:w="1935"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p>
        </w:tc>
        <w:tc>
          <w:tcPr>
            <w:tcW w:w="1336"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r>
              <w:rPr>
                <w:sz w:val="20"/>
                <w:szCs w:val="20"/>
                <w:bdr w:val="none" w:color="auto" w:sz="0" w:space="0"/>
                <w:lang w:val="en-US"/>
              </w:rPr>
              <w:t>环资界</w:t>
            </w:r>
          </w:p>
        </w:tc>
        <w:tc>
          <w:tcPr>
            <w:tcW w:w="2270"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c>
          <w:tcPr>
            <w:tcW w:w="404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91"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雷明盛</w:t>
            </w:r>
          </w:p>
        </w:tc>
        <w:tc>
          <w:tcPr>
            <w:tcW w:w="1935"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p>
        </w:tc>
        <w:tc>
          <w:tcPr>
            <w:tcW w:w="1336"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r>
              <w:rPr>
                <w:sz w:val="20"/>
                <w:szCs w:val="20"/>
                <w:bdr w:val="none" w:color="auto" w:sz="0" w:space="0"/>
                <w:lang w:val="en-US"/>
              </w:rPr>
              <w:t>医药卫生界</w:t>
            </w:r>
          </w:p>
        </w:tc>
        <w:tc>
          <w:tcPr>
            <w:tcW w:w="2270"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c>
          <w:tcPr>
            <w:tcW w:w="404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91"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王芬</w:t>
            </w:r>
          </w:p>
        </w:tc>
        <w:tc>
          <w:tcPr>
            <w:tcW w:w="1935"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p>
        </w:tc>
        <w:tc>
          <w:tcPr>
            <w:tcW w:w="1336"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r>
              <w:rPr>
                <w:sz w:val="20"/>
                <w:szCs w:val="20"/>
                <w:bdr w:val="none" w:color="auto" w:sz="0" w:space="0"/>
                <w:lang w:val="en-US"/>
              </w:rPr>
              <w:t>医药卫生界</w:t>
            </w:r>
          </w:p>
        </w:tc>
        <w:tc>
          <w:tcPr>
            <w:tcW w:w="2270"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c>
          <w:tcPr>
            <w:tcW w:w="404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91"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蔡菁菁</w:t>
            </w:r>
          </w:p>
        </w:tc>
        <w:tc>
          <w:tcPr>
            <w:tcW w:w="1935"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p>
        </w:tc>
        <w:tc>
          <w:tcPr>
            <w:tcW w:w="1336"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r>
              <w:rPr>
                <w:sz w:val="20"/>
                <w:szCs w:val="20"/>
                <w:bdr w:val="none" w:color="auto" w:sz="0" w:space="0"/>
                <w:lang w:val="en-US"/>
              </w:rPr>
              <w:t>医药卫生界</w:t>
            </w:r>
          </w:p>
        </w:tc>
        <w:tc>
          <w:tcPr>
            <w:tcW w:w="2270"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c>
          <w:tcPr>
            <w:tcW w:w="404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91"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李文灿</w:t>
            </w:r>
          </w:p>
        </w:tc>
        <w:tc>
          <w:tcPr>
            <w:tcW w:w="1935"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p>
        </w:tc>
        <w:tc>
          <w:tcPr>
            <w:tcW w:w="1336"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r>
              <w:rPr>
                <w:sz w:val="20"/>
                <w:szCs w:val="20"/>
                <w:bdr w:val="none" w:color="auto" w:sz="0" w:space="0"/>
                <w:lang w:val="en-US"/>
              </w:rPr>
              <w:t>农工党</w:t>
            </w:r>
          </w:p>
        </w:tc>
        <w:tc>
          <w:tcPr>
            <w:tcW w:w="2270"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c>
          <w:tcPr>
            <w:tcW w:w="404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91"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侯爱利</w:t>
            </w:r>
          </w:p>
        </w:tc>
        <w:tc>
          <w:tcPr>
            <w:tcW w:w="1935"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p>
        </w:tc>
        <w:tc>
          <w:tcPr>
            <w:tcW w:w="1336"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r>
              <w:rPr>
                <w:sz w:val="20"/>
                <w:szCs w:val="20"/>
                <w:bdr w:val="none" w:color="auto" w:sz="0" w:space="0"/>
                <w:lang w:val="en-US"/>
              </w:rPr>
              <w:t>医药卫生界</w:t>
            </w:r>
          </w:p>
        </w:tc>
        <w:tc>
          <w:tcPr>
            <w:tcW w:w="2270"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c>
          <w:tcPr>
            <w:tcW w:w="404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91"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易露茜</w:t>
            </w:r>
          </w:p>
        </w:tc>
        <w:tc>
          <w:tcPr>
            <w:tcW w:w="1935"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p>
        </w:tc>
        <w:tc>
          <w:tcPr>
            <w:tcW w:w="1336"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r>
              <w:rPr>
                <w:sz w:val="20"/>
                <w:szCs w:val="20"/>
                <w:bdr w:val="none" w:color="auto" w:sz="0" w:space="0"/>
                <w:lang w:val="en-US"/>
              </w:rPr>
              <w:t>医药卫生界</w:t>
            </w:r>
          </w:p>
        </w:tc>
        <w:tc>
          <w:tcPr>
            <w:tcW w:w="2270"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c>
          <w:tcPr>
            <w:tcW w:w="404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91"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童巧珍</w:t>
            </w:r>
          </w:p>
        </w:tc>
        <w:tc>
          <w:tcPr>
            <w:tcW w:w="1935"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p>
        </w:tc>
        <w:tc>
          <w:tcPr>
            <w:tcW w:w="1336"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r>
              <w:rPr>
                <w:sz w:val="20"/>
                <w:szCs w:val="20"/>
                <w:bdr w:val="none" w:color="auto" w:sz="0" w:space="0"/>
                <w:lang w:val="en-US"/>
              </w:rPr>
              <w:t>农工党</w:t>
            </w:r>
          </w:p>
        </w:tc>
        <w:tc>
          <w:tcPr>
            <w:tcW w:w="2270"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c>
          <w:tcPr>
            <w:tcW w:w="404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91"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彭丽娟</w:t>
            </w:r>
          </w:p>
        </w:tc>
        <w:tc>
          <w:tcPr>
            <w:tcW w:w="1935"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p>
        </w:tc>
        <w:tc>
          <w:tcPr>
            <w:tcW w:w="1336"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r>
              <w:rPr>
                <w:sz w:val="20"/>
                <w:szCs w:val="20"/>
                <w:bdr w:val="none" w:color="auto" w:sz="0" w:space="0"/>
                <w:lang w:val="en-US"/>
              </w:rPr>
              <w:t>无党派</w:t>
            </w:r>
          </w:p>
        </w:tc>
        <w:tc>
          <w:tcPr>
            <w:tcW w:w="2270"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c>
          <w:tcPr>
            <w:tcW w:w="404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91"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吴颖岚</w:t>
            </w:r>
          </w:p>
        </w:tc>
        <w:tc>
          <w:tcPr>
            <w:tcW w:w="1935"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p>
        </w:tc>
        <w:tc>
          <w:tcPr>
            <w:tcW w:w="1336"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r>
              <w:rPr>
                <w:sz w:val="20"/>
                <w:szCs w:val="20"/>
                <w:bdr w:val="none" w:color="auto" w:sz="0" w:space="0"/>
                <w:lang w:val="en-US"/>
              </w:rPr>
              <w:t>医药卫生界</w:t>
            </w:r>
          </w:p>
        </w:tc>
        <w:tc>
          <w:tcPr>
            <w:tcW w:w="2270"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c>
          <w:tcPr>
            <w:tcW w:w="404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91"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张瑜</w:t>
            </w:r>
          </w:p>
        </w:tc>
        <w:tc>
          <w:tcPr>
            <w:tcW w:w="1935"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p>
        </w:tc>
        <w:tc>
          <w:tcPr>
            <w:tcW w:w="1336"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r>
              <w:rPr>
                <w:sz w:val="20"/>
                <w:szCs w:val="20"/>
                <w:bdr w:val="none" w:color="auto" w:sz="0" w:space="0"/>
                <w:lang w:val="en-US"/>
              </w:rPr>
              <w:t>医药卫生界</w:t>
            </w:r>
          </w:p>
        </w:tc>
        <w:tc>
          <w:tcPr>
            <w:tcW w:w="2270"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c>
          <w:tcPr>
            <w:tcW w:w="404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91"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陈其芳</w:t>
            </w:r>
          </w:p>
        </w:tc>
        <w:tc>
          <w:tcPr>
            <w:tcW w:w="1935"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p>
        </w:tc>
        <w:tc>
          <w:tcPr>
            <w:tcW w:w="1336"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r>
              <w:rPr>
                <w:sz w:val="20"/>
                <w:szCs w:val="20"/>
                <w:bdr w:val="none" w:color="auto" w:sz="0" w:space="0"/>
                <w:lang w:val="en-US"/>
              </w:rPr>
              <w:t>教育界</w:t>
            </w:r>
          </w:p>
        </w:tc>
        <w:tc>
          <w:tcPr>
            <w:tcW w:w="2270"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c>
          <w:tcPr>
            <w:tcW w:w="404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91"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姚晨姣</w:t>
            </w:r>
          </w:p>
        </w:tc>
        <w:tc>
          <w:tcPr>
            <w:tcW w:w="1935"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p>
        </w:tc>
        <w:tc>
          <w:tcPr>
            <w:tcW w:w="1336"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r>
              <w:rPr>
                <w:sz w:val="20"/>
                <w:szCs w:val="20"/>
                <w:bdr w:val="none" w:color="auto" w:sz="0" w:space="0"/>
                <w:lang w:val="en-US"/>
              </w:rPr>
              <w:t>农工党</w:t>
            </w:r>
          </w:p>
        </w:tc>
        <w:tc>
          <w:tcPr>
            <w:tcW w:w="2270"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c>
          <w:tcPr>
            <w:tcW w:w="404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91"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向明</w:t>
            </w:r>
          </w:p>
        </w:tc>
        <w:tc>
          <w:tcPr>
            <w:tcW w:w="1935"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p>
        </w:tc>
        <w:tc>
          <w:tcPr>
            <w:tcW w:w="1336"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r>
              <w:rPr>
                <w:sz w:val="20"/>
                <w:szCs w:val="20"/>
                <w:bdr w:val="none" w:color="auto" w:sz="0" w:space="0"/>
                <w:lang w:val="en-US"/>
              </w:rPr>
              <w:t>农工党</w:t>
            </w:r>
          </w:p>
        </w:tc>
        <w:tc>
          <w:tcPr>
            <w:tcW w:w="2270"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c>
          <w:tcPr>
            <w:tcW w:w="404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r>
    </w:tbl>
    <w:p>
      <w:pPr>
        <w:rPr>
          <w:lang w:val="en-US"/>
        </w:rPr>
      </w:pPr>
    </w:p>
    <w:p>
      <w:pPr>
        <w:rPr>
          <w:lang w:val="en-US"/>
        </w:rPr>
      </w:pPr>
    </w:p>
    <w:sectPr>
      <w:pgSz w:w="11906" w:h="16838"/>
      <w:pgMar w:top="1440" w:right="1800" w:bottom="1440" w:left="1800" w:header="851" w:footer="992" w:gutter="0"/>
      <w:paperSrc/>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variable"/>
    <w:sig w:usb0="E00006FF" w:usb1="420024FF" w:usb2="02000000" w:usb3="00000000" w:csb0="2000019F" w:csb1="00000000"/>
  </w:font>
  <w:font w:name="Consolas">
    <w:panose1 w:val="020B0609020204030204"/>
    <w:charset w:val="00"/>
    <w:family w:val="auto"/>
    <w:pitch w:val="fixed"/>
    <w:sig w:usb0="E00006FF" w:usb1="0000FCFF" w:usb2="00000001" w:usb3="00000000" w:csb0="6000019F" w:csb1="DFD70000"/>
  </w:font>
  <w:font w:name="Courier New">
    <w:panose1 w:val="02070309020205020404"/>
    <w:charset w:val="00"/>
    <w:family w:val="auto"/>
    <w:pitch w:val="default"/>
    <w:sig w:usb0="E0002E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NDM5ZDk0NDQzNmRlYzU3YzNlM2RkZWMwOWYwN2EifQ=="/>
  </w:docVars>
  <w:rsids>
    <w:rsidRoot w:val="00000000"/>
    <w:rsid w:val="420246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99"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nhideWhenUsed="0" w:uiPriority="99"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nhideWhenUsed="0" w:uiPriority="99" w:semiHidden="0" w:name="Normal Table"/>
    <w:lsdException w:uiPriority="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iPriority="0" w:name="Balloon Text"/>
    <w:lsdException w:unhideWhenUsed="0" w:uiPriority="99" w:semiHidden="0" w:name="Table Grid"/>
    <w:lsdException w:unhideWhenUsed="0" w:uiPriority="99" w:semiHidden="0" w:name="Table Theme"/>
    <w:lsdException w:unhideWhenUsed="0" w:uiPriority="99" w:semiHidden="0" w:name="Light Shading"/>
    <w:lsdException w:unhideWhenUsed="0" w:uiPriority="99" w:semiHidden="0" w:name="Light List"/>
    <w:lsdException w:unhideWhenUsed="0" w:uiPriority="99" w:semiHidden="0" w:name="Light Grid"/>
    <w:lsdException w:unhideWhenUsed="0" w:uiPriority="99" w:semiHidden="0" w:name="Medium Shading 1"/>
    <w:lsdException w:unhideWhenUsed="0" w:uiPriority="99" w:semiHidden="0" w:name="Medium Shading 2"/>
    <w:lsdException w:unhideWhenUsed="0" w:uiPriority="99" w:semiHidden="0" w:name="Medium List 1"/>
    <w:lsdException w:unhideWhenUsed="0" w:uiPriority="99" w:semiHidden="0" w:name="Medium List 2"/>
    <w:lsdException w:unhideWhenUsed="0" w:uiPriority="99" w:semiHidden="0" w:name="Medium Grid 1"/>
    <w:lsdException w:unhideWhenUsed="0" w:uiPriority="99" w:semiHidden="0" w:name="Medium Grid 2"/>
    <w:lsdException w:unhideWhenUsed="0" w:uiPriority="99" w:semiHidden="0" w:name="Medium Grid 3"/>
    <w:lsdException w:unhideWhenUsed="0" w:uiPriority="99" w:semiHidden="0" w:name="Dark List"/>
    <w:lsdException w:unhideWhenUsed="0" w:uiPriority="99" w:semiHidden="0" w:name="Colorful Shading"/>
    <w:lsdException w:unhideWhenUsed="0" w:uiPriority="99" w:semiHidden="0" w:name="Colorful List"/>
    <w:lsdException w:unhideWhenUsed="0" w:uiPriority="99" w:semiHidden="0" w:name="Colorful Grid"/>
    <w:lsdException w:unhideWhenUsed="0" w:uiPriority="99" w:semiHidden="0" w:name="Light Shading Accent 1"/>
    <w:lsdException w:unhideWhenUsed="0" w:uiPriority="99" w:semiHidden="0" w:name="Light List Accent 1"/>
    <w:lsdException w:unhideWhenUsed="0" w:uiPriority="99" w:semiHidden="0" w:name="Light Grid Accent 1"/>
    <w:lsdException w:unhideWhenUsed="0" w:uiPriority="99" w:semiHidden="0" w:name="Medium Shading 1 Accent 1"/>
    <w:lsdException w:unhideWhenUsed="0" w:uiPriority="99" w:semiHidden="0" w:name="Medium Shading 2 Accent 1"/>
    <w:lsdException w:unhideWhenUsed="0" w:uiPriority="99" w:semiHidden="0" w:name="Medium List 1 Accent 1"/>
    <w:lsdException w:unhideWhenUsed="0" w:uiPriority="99" w:semiHidden="0" w:name="Medium List 2 Accent 1"/>
    <w:lsdException w:unhideWhenUsed="0" w:uiPriority="99" w:semiHidden="0" w:name="Medium Grid 1 Accent 1"/>
    <w:lsdException w:unhideWhenUsed="0" w:uiPriority="99" w:semiHidden="0" w:name="Medium Grid 2 Accent 1"/>
    <w:lsdException w:unhideWhenUsed="0" w:uiPriority="99" w:semiHidden="0" w:name="Medium Grid 3 Accent 1"/>
    <w:lsdException w:unhideWhenUsed="0" w:uiPriority="99" w:semiHidden="0" w:name="Dark List Accent 1"/>
    <w:lsdException w:unhideWhenUsed="0" w:uiPriority="99" w:semiHidden="0" w:name="Colorful Shading Accent 1"/>
    <w:lsdException w:unhideWhenUsed="0" w:uiPriority="99" w:semiHidden="0" w:name="Colorful List Accent 1"/>
    <w:lsdException w:unhideWhenUsed="0" w:uiPriority="99" w:semiHidden="0" w:name="Colorful Grid Accent 1"/>
    <w:lsdException w:unhideWhenUsed="0" w:uiPriority="99" w:semiHidden="0" w:name="Light Shading Accent 2"/>
    <w:lsdException w:unhideWhenUsed="0" w:uiPriority="99" w:semiHidden="0" w:name="Light List Accent 2"/>
    <w:lsdException w:unhideWhenUsed="0" w:uiPriority="99" w:semiHidden="0" w:name="Light Grid Accent 2"/>
    <w:lsdException w:unhideWhenUsed="0" w:uiPriority="99" w:semiHidden="0" w:name="Medium Shading 1 Accent 2"/>
    <w:lsdException w:unhideWhenUsed="0" w:uiPriority="99" w:semiHidden="0" w:name="Medium Shading 2 Accent 2"/>
    <w:lsdException w:unhideWhenUsed="0" w:uiPriority="99" w:semiHidden="0" w:name="Medium List 1 Accent 2"/>
    <w:lsdException w:unhideWhenUsed="0" w:uiPriority="99" w:semiHidden="0" w:name="Medium List 2 Accent 2"/>
    <w:lsdException w:unhideWhenUsed="0" w:uiPriority="99" w:semiHidden="0" w:name="Medium Grid 1 Accent 2"/>
    <w:lsdException w:unhideWhenUsed="0" w:uiPriority="99" w:semiHidden="0" w:name="Medium Grid 2 Accent 2"/>
    <w:lsdException w:unhideWhenUsed="0" w:uiPriority="99" w:semiHidden="0" w:name="Medium Grid 3 Accent 2"/>
    <w:lsdException w:unhideWhenUsed="0" w:uiPriority="99" w:semiHidden="0" w:name="Dark List Accent 2"/>
    <w:lsdException w:unhideWhenUsed="0" w:uiPriority="99" w:semiHidden="0" w:name="Colorful Shading Accent 2"/>
    <w:lsdException w:unhideWhenUsed="0" w:uiPriority="99" w:semiHidden="0" w:name="Colorful List Accent 2"/>
    <w:lsdException w:unhideWhenUsed="0" w:uiPriority="99" w:semiHidden="0" w:name="Colorful Grid Accent 2"/>
    <w:lsdException w:unhideWhenUsed="0" w:uiPriority="99" w:semiHidden="0" w:name="Light Shading Accent 3"/>
    <w:lsdException w:unhideWhenUsed="0" w:uiPriority="99" w:semiHidden="0" w:name="Light List Accent 3"/>
    <w:lsdException w:unhideWhenUsed="0" w:uiPriority="99" w:semiHidden="0" w:name="Light Grid Accent 3"/>
    <w:lsdException w:unhideWhenUsed="0" w:uiPriority="99" w:semiHidden="0" w:name="Medium Shading 1 Accent 3"/>
    <w:lsdException w:unhideWhenUsed="0" w:uiPriority="99" w:semiHidden="0" w:name="Medium Shading 2 Accent 3"/>
    <w:lsdException w:unhideWhenUsed="0" w:uiPriority="99" w:semiHidden="0" w:name="Medium List 1 Accent 3"/>
    <w:lsdException w:unhideWhenUsed="0" w:uiPriority="99" w:semiHidden="0" w:name="Medium List 2 Accent 3"/>
    <w:lsdException w:unhideWhenUsed="0" w:uiPriority="99" w:semiHidden="0" w:name="Medium Grid 1 Accent 3"/>
    <w:lsdException w:unhideWhenUsed="0" w:uiPriority="99" w:semiHidden="0" w:name="Medium Grid 2 Accent 3"/>
    <w:lsdException w:unhideWhenUsed="0" w:uiPriority="99" w:semiHidden="0" w:name="Medium Grid 3 Accent 3"/>
    <w:lsdException w:unhideWhenUsed="0" w:uiPriority="99" w:semiHidden="0" w:name="Dark List Accent 3"/>
    <w:lsdException w:unhideWhenUsed="0" w:uiPriority="99" w:semiHidden="0" w:name="Colorful Shading Accent 3"/>
    <w:lsdException w:unhideWhenUsed="0" w:uiPriority="99" w:semiHidden="0" w:name="Colorful List Accent 3"/>
    <w:lsdException w:unhideWhenUsed="0" w:uiPriority="99" w:semiHidden="0" w:name="Colorful Grid Accent 3"/>
    <w:lsdException w:unhideWhenUsed="0" w:uiPriority="99" w:semiHidden="0" w:name="Light Shading Accent 4"/>
    <w:lsdException w:unhideWhenUsed="0" w:uiPriority="99" w:semiHidden="0" w:name="Light List Accent 4"/>
    <w:lsdException w:unhideWhenUsed="0" w:uiPriority="99" w:semiHidden="0" w:name="Light Grid Accent 4"/>
    <w:lsdException w:unhideWhenUsed="0" w:uiPriority="99" w:semiHidden="0" w:name="Medium Shading 1 Accent 4"/>
    <w:lsdException w:unhideWhenUsed="0" w:uiPriority="99" w:semiHidden="0" w:name="Medium Shading 2 Accent 4"/>
    <w:lsdException w:unhideWhenUsed="0" w:uiPriority="99" w:semiHidden="0" w:name="Medium List 1 Accent 4"/>
    <w:lsdException w:unhideWhenUsed="0" w:uiPriority="99" w:semiHidden="0" w:name="Medium List 2 Accent 4"/>
    <w:lsdException w:unhideWhenUsed="0" w:uiPriority="99" w:semiHidden="0" w:name="Medium Grid 1 Accent 4"/>
    <w:lsdException w:unhideWhenUsed="0" w:uiPriority="99" w:semiHidden="0" w:name="Medium Grid 2 Accent 4"/>
    <w:lsdException w:unhideWhenUsed="0" w:uiPriority="99" w:semiHidden="0" w:name="Medium Grid 3 Accent 4"/>
    <w:lsdException w:unhideWhenUsed="0" w:uiPriority="99" w:semiHidden="0" w:name="Dark List Accent 4"/>
    <w:lsdException w:unhideWhenUsed="0" w:uiPriority="99" w:semiHidden="0" w:name="Colorful Shading Accent 4"/>
    <w:lsdException w:unhideWhenUsed="0" w:uiPriority="99" w:semiHidden="0" w:name="Colorful List Accent 4"/>
    <w:lsdException w:unhideWhenUsed="0" w:uiPriority="99" w:semiHidden="0" w:name="Colorful Grid Accent 4"/>
    <w:lsdException w:unhideWhenUsed="0" w:uiPriority="99" w:semiHidden="0" w:name="Light Shading Accent 5"/>
    <w:lsdException w:unhideWhenUsed="0" w:uiPriority="99" w:semiHidden="0" w:name="Light List Accent 5"/>
    <w:lsdException w:unhideWhenUsed="0" w:uiPriority="99" w:semiHidden="0" w:name="Light Grid Accent 5"/>
    <w:lsdException w:unhideWhenUsed="0" w:uiPriority="99" w:semiHidden="0" w:name="Medium Shading 1 Accent 5"/>
    <w:lsdException w:unhideWhenUsed="0" w:uiPriority="99" w:semiHidden="0" w:name="Medium Shading 2 Accent 5"/>
    <w:lsdException w:unhideWhenUsed="0" w:uiPriority="99" w:semiHidden="0" w:name="Medium List 1 Accent 5"/>
    <w:lsdException w:unhideWhenUsed="0" w:uiPriority="99" w:semiHidden="0" w:name="Medium List 2 Accent 5"/>
    <w:lsdException w:unhideWhenUsed="0" w:uiPriority="99" w:semiHidden="0" w:name="Medium Grid 1 Accent 5"/>
    <w:lsdException w:unhideWhenUsed="0" w:uiPriority="99" w:semiHidden="0" w:name="Medium Grid 2 Accent 5"/>
    <w:lsdException w:unhideWhenUsed="0" w:uiPriority="99" w:semiHidden="0" w:name="Medium Grid 3 Accent 5"/>
    <w:lsdException w:unhideWhenUsed="0" w:uiPriority="99" w:semiHidden="0" w:name="Dark List Accent 5"/>
    <w:lsdException w:unhideWhenUsed="0" w:uiPriority="99" w:semiHidden="0" w:name="Colorful Shading Accent 5"/>
    <w:lsdException w:unhideWhenUsed="0" w:uiPriority="99" w:semiHidden="0" w:name="Colorful List Accent 5"/>
    <w:lsdException w:unhideWhenUsed="0" w:uiPriority="99" w:semiHidden="0" w:name="Colorful Grid Accent 5"/>
    <w:lsdException w:unhideWhenUsed="0" w:uiPriority="99" w:semiHidden="0" w:name="Light Shading Accent 6"/>
    <w:lsdException w:unhideWhenUsed="0" w:uiPriority="99" w:semiHidden="0" w:name="Light List Accent 6"/>
    <w:lsdException w:unhideWhenUsed="0" w:uiPriority="99" w:semiHidden="0" w:name="Light Grid Accent 6"/>
    <w:lsdException w:unhideWhenUsed="0" w:uiPriority="99" w:semiHidden="0" w:name="Medium Shading 1 Accent 6"/>
    <w:lsdException w:unhideWhenUsed="0" w:uiPriority="99" w:semiHidden="0" w:name="Medium Shading 2 Accent 6"/>
    <w:lsdException w:unhideWhenUsed="0" w:uiPriority="99" w:semiHidden="0" w:name="Medium List 1 Accent 6"/>
    <w:lsdException w:unhideWhenUsed="0" w:uiPriority="99" w:semiHidden="0" w:name="Medium List 2 Accent 6"/>
    <w:lsdException w:unhideWhenUsed="0" w:uiPriority="99" w:semiHidden="0" w:name="Medium Grid 1 Accent 6"/>
    <w:lsdException w:unhideWhenUsed="0" w:uiPriority="99" w:semiHidden="0" w:name="Medium Grid 2 Accent 6"/>
    <w:lsdException w:unhideWhenUsed="0" w:uiPriority="99" w:semiHidden="0" w:name="Medium Grid 3 Accent 6"/>
    <w:lsdException w:unhideWhenUsed="0" w:uiPriority="99" w:semiHidden="0" w:name="Dark List Accent 6"/>
    <w:lsdException w:unhideWhenUsed="0" w:uiPriority="99" w:semiHidden="0" w:name="Colorful Shading Accent 6"/>
    <w:lsdException w:unhideWhenUsed="0" w:uiPriority="99" w:semiHidden="0" w:name="Colorful List Accent 6"/>
    <w:lsdException w:unhideWhenUsed="0" w:uiPriority="99" w:semiHidden="0" w:name="Colorful Grid Accent 6"/>
  </w:latentStyles>
  <w:style w:type="paragraph" w:default="1" w:styleId="1">
    <w:name w:val="Normal"/>
    <w:uiPriority w:val="99"/>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9"/>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4">
    <w:name w:val="Default Paragraph Font"/>
    <w:uiPriority w:val="99"/>
  </w:style>
  <w:style w:type="table" w:default="1" w:styleId="12">
    <w:name w:val="Normal Table"/>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8"/>
    <w:semiHidden/>
    <w:unhideWhenUsed/>
    <w:uiPriority w:val="0"/>
    <w:pPr>
      <w:keepNext w:val="0"/>
      <w:keepLines w:val="0"/>
      <w:widowControl/>
      <w:suppressLineNumbers w:val="0"/>
      <w:tabs>
        <w:tab w:val="center" w:pos="4153"/>
        <w:tab w:val="right" w:pos="8306"/>
      </w:tabs>
      <w:snapToGrid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paragraph" w:styleId="9">
    <w:name w:val="header"/>
    <w:basedOn w:val="1"/>
    <w:link w:val="17"/>
    <w:semiHidden/>
    <w:unhideWhenUsed/>
    <w:uiPriority w:val="0"/>
    <w:pPr>
      <w:keepNext w:val="0"/>
      <w:keepLines w:val="0"/>
      <w:widowControl/>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eastAsia" w:ascii="宋体" w:hAnsi="宋体" w:eastAsia="宋体" w:cs="宋体"/>
      <w:kern w:val="0"/>
      <w:sz w:val="18"/>
      <w:szCs w:val="18"/>
      <w:lang w:val="en-US" w:eastAsia="zh-CN" w:bidi="ar"/>
    </w:rPr>
  </w:style>
  <w:style w:type="paragraph" w:styleId="10">
    <w:name w:val="HTML Preformatted"/>
    <w:basedOn w:val="1"/>
    <w:semiHidden/>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default" w:ascii="Courier New" w:hAnsi="Courier New" w:eastAsia="宋体" w:cs="Courier New"/>
      <w:kern w:val="0"/>
      <w:sz w:val="20"/>
      <w:szCs w:val="20"/>
      <w:lang w:val="en-US" w:eastAsia="zh-CN" w:bidi="ar"/>
    </w:rPr>
  </w:style>
  <w:style w:type="paragraph" w:styleId="11">
    <w:name w:val="Normal (Web)"/>
    <w:basedOn w:val="1"/>
    <w:semiHidden/>
    <w:unhideWhenUsed/>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table" w:styleId="13">
    <w:name w:val="Table Grid"/>
    <w:basedOn w:val="12"/>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5">
    <w:name w:val="FollowedHyperlink"/>
    <w:basedOn w:val="14"/>
    <w:semiHidden/>
    <w:unhideWhenUsed/>
    <w:uiPriority w:val="0"/>
    <w:rPr>
      <w:color w:val="800080"/>
      <w:u w:val="single"/>
    </w:rPr>
  </w:style>
  <w:style w:type="character" w:styleId="16">
    <w:name w:val="Hyperlink"/>
    <w:basedOn w:val="14"/>
    <w:semiHidden/>
    <w:unhideWhenUsed/>
    <w:uiPriority w:val="0"/>
    <w:rPr>
      <w:color w:val="0000FF"/>
      <w:u w:val="single"/>
    </w:rPr>
  </w:style>
  <w:style w:type="character" w:customStyle="1" w:styleId="17">
    <w:name w:val="页眉 Char"/>
    <w:basedOn w:val="14"/>
    <w:link w:val="9"/>
    <w:locked/>
    <w:uiPriority w:val="0"/>
    <w:rPr>
      <w:rFonts w:hint="eastAsia" w:ascii="宋体" w:hAnsi="宋体" w:eastAsia="宋体" w:cs="宋体"/>
      <w:sz w:val="18"/>
      <w:szCs w:val="18"/>
    </w:rPr>
  </w:style>
  <w:style w:type="character" w:customStyle="1" w:styleId="18">
    <w:name w:val="页脚 Char"/>
    <w:basedOn w:val="14"/>
    <w:link w:val="8"/>
    <w:locked/>
    <w:uiPriority w:val="0"/>
    <w:rPr>
      <w:rFonts w:hint="eastAsia" w:ascii="宋体" w:hAnsi="宋体" w:eastAsia="宋体" w:cs="宋体"/>
      <w:sz w:val="18"/>
      <w:szCs w:val="18"/>
    </w:rPr>
  </w:style>
  <w:style w:type="paragraph" w:customStyle="1" w:styleId="19">
    <w:name w:val="tdleft"/>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0">
    <w:name w:val="tdborder"/>
    <w:basedOn w:val="1"/>
    <w:uiPriority w:val="0"/>
    <w:pPr>
      <w:keepNext w:val="0"/>
      <w:keepLines w:val="0"/>
      <w:widowControl/>
      <w:suppressLineNumbers w:val="0"/>
      <w:pBdr>
        <w:top w:val="single" w:color="000000" w:sz="6" w:space="0"/>
        <w:left w:val="single" w:color="000000" w:sz="6" w:space="0"/>
        <w:bottom w:val="single" w:color="000000" w:sz="6" w:space="0"/>
        <w:right w:val="single" w:color="000000" w:sz="6" w:space="0"/>
      </w:pBd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1">
    <w:name w:val="formtitle"/>
    <w:basedOn w:val="1"/>
    <w:uiPriority w:val="0"/>
    <w:pPr>
      <w:keepNext w:val="0"/>
      <w:keepLines w:val="0"/>
      <w:widowControl/>
      <w:suppressLineNumbers w:val="0"/>
      <w:spacing w:before="0" w:beforeAutospacing="1" w:after="0" w:afterAutospacing="1"/>
      <w:ind w:left="0" w:right="0"/>
      <w:jc w:val="center"/>
    </w:pPr>
    <w:rPr>
      <w:rFonts w:hint="eastAsia" w:ascii="宋体" w:hAnsi="宋体" w:eastAsia="宋体" w:cs="宋体"/>
      <w:kern w:val="0"/>
      <w:sz w:val="36"/>
      <w:szCs w:val="36"/>
      <w:lang w:val="en-US" w:eastAsia="zh-CN" w:bidi="ar"/>
    </w:rPr>
  </w:style>
  <w:style w:type="paragraph" w:customStyle="1" w:styleId="22">
    <w:name w:val="tdcenter"/>
    <w:basedOn w:val="1"/>
    <w:uiPriority w:val="0"/>
    <w:pPr>
      <w:keepNext w:val="0"/>
      <w:keepLines w:val="0"/>
      <w:widowControl/>
      <w:suppressLineNumbers w:val="0"/>
      <w:spacing w:before="0" w:beforeAutospacing="1" w:after="0" w:afterAutospacing="1"/>
      <w:ind w:left="0" w:right="0"/>
      <w:jc w:val="center"/>
    </w:pPr>
    <w:rPr>
      <w:rFonts w:hint="eastAsia" w:ascii="宋体" w:hAnsi="宋体" w:eastAsia="宋体" w:cs="宋体"/>
      <w:kern w:val="0"/>
      <w:sz w:val="24"/>
      <w:szCs w:val="24"/>
      <w:lang w:val="en-US" w:eastAsia="zh-CN" w:bidi="ar"/>
    </w:rPr>
  </w:style>
  <w:style w:type="paragraph" w:customStyle="1" w:styleId="23">
    <w:name w:val="exceltable1"/>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4">
    <w:name w:val="tdright"/>
    <w:basedOn w:val="1"/>
    <w:uiPriority w:val="0"/>
    <w:pPr>
      <w:keepNext w:val="0"/>
      <w:keepLines w:val="0"/>
      <w:widowControl/>
      <w:suppressLineNumbers w:val="0"/>
      <w:spacing w:before="0" w:beforeAutospacing="1" w:after="0" w:afterAutospacing="1"/>
      <w:ind w:left="0" w:right="0"/>
      <w:jc w:val="right"/>
    </w:pPr>
    <w:rPr>
      <w:rFonts w:hint="eastAsia" w:ascii="宋体" w:hAnsi="宋体" w:eastAsia="宋体" w:cs="宋体"/>
      <w:kern w:val="0"/>
      <w:sz w:val="24"/>
      <w:szCs w:val="24"/>
      <w:lang w:val="en-US" w:eastAsia="zh-CN" w:bidi="ar"/>
    </w:rPr>
  </w:style>
  <w:style w:type="paragraph" w:customStyle="1" w:styleId="25">
    <w:name w:val="tdjg"/>
    <w:basedOn w:val="1"/>
    <w:uiPriority w:val="0"/>
    <w:pPr>
      <w:keepNext w:val="0"/>
      <w:keepLines w:val="0"/>
      <w:widowControl/>
      <w:suppressLineNumbers w:val="0"/>
      <w:pBdr>
        <w:top w:val="single" w:color="000000" w:sz="2" w:space="0"/>
        <w:left w:val="single" w:color="000000" w:sz="2" w:space="0"/>
        <w:bottom w:val="single" w:color="000000" w:sz="2" w:space="0"/>
        <w:right w:val="single" w:color="000000" w:sz="2" w:space="0"/>
      </w:pBd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2296</Words>
  <Characters>2923</Characters>
  <Lines>4</Lines>
  <Paragraphs>1</Paragraphs>
  <TotalTime>3</TotalTime>
  <ScaleCrop>false</ScaleCrop>
  <LinksUpToDate>false</LinksUpToDate>
  <CharactersWithSpaces>2947</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谢毅</dc:creator>
  <cp:lastModifiedBy>好想吃糖油粑粑</cp:lastModifiedBy>
  <dcterms:modified xsi:type="dcterms:W3CDTF">2023-09-28T01:24:44Z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5741736E332945BFB994F21AC3943F10_13</vt:lpwstr>
  </property>
</Properties>
</file>