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2"/>
        <w:tblW w:w="10780" w:type="dxa"/>
        <w:tblInd w:w="-1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1"/>
        <w:gridCol w:w="554"/>
        <w:gridCol w:w="1020"/>
        <w:gridCol w:w="361"/>
        <w:gridCol w:w="1336"/>
        <w:gridCol w:w="1054"/>
        <w:gridCol w:w="1216"/>
        <w:gridCol w:w="400"/>
        <w:gridCol w:w="1063"/>
        <w:gridCol w:w="802"/>
        <w:gridCol w:w="1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16" w:type="dxa"/>
            <w:gridSpan w:val="6"/>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sz w:val="20"/>
                <w:szCs w:val="20"/>
                <w:lang w:val="en-US"/>
              </w:rPr>
            </w:pPr>
            <w:r>
              <w:rPr>
                <w:sz w:val="22"/>
                <w:szCs w:val="22"/>
                <w:lang w:val="en-US"/>
              </w:rPr>
              <w:t>个人提案</w:t>
            </w:r>
          </w:p>
        </w:tc>
        <w:tc>
          <w:tcPr>
            <w:tcW w:w="2679" w:type="dxa"/>
            <w:gridSpan w:val="3"/>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sz w:val="22"/>
                <w:szCs w:val="22"/>
                <w:lang w:val="en-US"/>
              </w:rPr>
            </w:pPr>
            <w:r>
              <w:rPr>
                <w:sz w:val="22"/>
                <w:szCs w:val="22"/>
                <w:lang w:val="en-US"/>
              </w:rPr>
              <w:t>社会建设 </w:t>
            </w:r>
            <w:r>
              <w:rPr>
                <w:sz w:val="22"/>
                <w:szCs w:val="22"/>
              </w:rPr>
              <w:t>类</w:t>
            </w:r>
            <w:r>
              <w:rPr>
                <w:sz w:val="22"/>
                <w:szCs w:val="22"/>
                <w:lang w:val="en-US"/>
              </w:rPr>
              <w:t xml:space="preserve"> </w:t>
            </w:r>
          </w:p>
        </w:tc>
        <w:tc>
          <w:tcPr>
            <w:tcW w:w="2578"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sz w:val="22"/>
                <w:szCs w:val="22"/>
                <w:lang w:val="en-US"/>
              </w:rPr>
            </w:pPr>
            <w:r>
              <w:rPr>
                <w:sz w:val="22"/>
                <w:szCs w:val="22"/>
                <w:lang w:val="en-US"/>
              </w:rPr>
              <w:t>095  </w:t>
            </w:r>
            <w:r>
              <w:rPr>
                <w:sz w:val="22"/>
                <w:szCs w:val="22"/>
              </w:rPr>
              <w:t>号</w:t>
            </w:r>
            <w:r>
              <w:rPr>
                <w:sz w:val="22"/>
                <w:szCs w:val="22"/>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sz w:val="22"/>
                <w:szCs w:val="22"/>
                <w:lang w:val="en-US"/>
              </w:rPr>
            </w:pPr>
            <w:r>
              <w:rPr>
                <w:b/>
                <w:bCs/>
                <w:sz w:val="22"/>
                <w:szCs w:val="22"/>
              </w:rPr>
              <w:t>湖南省政协</w:t>
            </w:r>
            <w:r>
              <w:rPr>
                <w:b/>
                <w:bCs/>
                <w:sz w:val="22"/>
                <w:szCs w:val="22"/>
                <w:lang w:val="en-US"/>
              </w:rPr>
              <w:t>十三</w:t>
            </w:r>
            <w:r>
              <w:rPr>
                <w:b/>
                <w:bCs/>
                <w:sz w:val="22"/>
                <w:szCs w:val="22"/>
              </w:rPr>
              <w:t>届</w:t>
            </w:r>
            <w:r>
              <w:rPr>
                <w:b/>
                <w:bCs/>
                <w:sz w:val="22"/>
                <w:szCs w:val="22"/>
                <w:lang w:val="en-US"/>
              </w:rPr>
              <w:t>一</w:t>
            </w:r>
            <w:r>
              <w:rPr>
                <w:b/>
                <w:bCs/>
                <w:sz w:val="22"/>
                <w:szCs w:val="22"/>
              </w:rPr>
              <w:t>次会议第</w:t>
            </w:r>
            <w:r>
              <w:rPr>
                <w:b/>
                <w:bCs/>
                <w:sz w:val="22"/>
                <w:szCs w:val="22"/>
                <w:lang w:val="en-US"/>
              </w:rPr>
              <w:t>0404</w:t>
            </w:r>
            <w:r>
              <w:rPr>
                <w:b/>
                <w:bCs/>
                <w:sz w:val="22"/>
                <w:szCs w:val="22"/>
              </w:rPr>
              <w:t>号提案</w:t>
            </w:r>
            <w:r>
              <w:rPr>
                <w:sz w:val="22"/>
                <w:szCs w:val="22"/>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sz w:val="22"/>
                <w:szCs w:val="22"/>
                <w:lang w:val="en-US"/>
              </w:rPr>
            </w:pPr>
            <w:r>
              <w:rPr>
                <w:sz w:val="22"/>
                <w:szCs w:val="22"/>
              </w:rPr>
              <w:t>案由</w:t>
            </w:r>
          </w:p>
        </w:tc>
        <w:tc>
          <w:tcPr>
            <w:tcW w:w="9028" w:type="dxa"/>
            <w:gridSpan w:val="9"/>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sz w:val="22"/>
                <w:szCs w:val="22"/>
                <w:lang w:val="en-US"/>
              </w:rPr>
            </w:pPr>
            <w:r>
              <w:rPr>
                <w:rFonts w:hint="default" w:ascii="Consolas" w:hAnsi="Consolas" w:eastAsia="Consolas" w:cs="Consolas"/>
                <w:color w:val="222222"/>
                <w:sz w:val="18"/>
                <w:szCs w:val="18"/>
                <w:shd w:val="clear" w:fill="FFFFFF"/>
                <w:lang w:val="en-US"/>
              </w:rPr>
              <w:t>关于医保D R G付费模式下增加患者对眼科诊疗新技术新材料选择权的建议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color="auto" w:fill="auto"/>
            <w:tcMar>
              <w:top w:w="15" w:type="dxa"/>
              <w:left w:w="15" w:type="dxa"/>
              <w:bottom w:w="15" w:type="dxa"/>
              <w:right w:w="15" w:type="dxa"/>
            </w:tcMar>
            <w:vAlign w:val="center"/>
          </w:tcPr>
          <w:p>
            <w:pPr>
              <w:jc w:val="center"/>
              <w:rPr>
                <w:sz w:val="22"/>
                <w:szCs w:val="22"/>
                <w:lang w:val="en-US"/>
              </w:rPr>
            </w:pPr>
            <w:r>
              <w:rPr>
                <w:sz w:val="22"/>
                <w:szCs w:val="22"/>
              </w:rPr>
              <w:t>提案人</w:t>
            </w:r>
          </w:p>
        </w:tc>
        <w:tc>
          <w:tcPr>
            <w:tcW w:w="7252" w:type="dxa"/>
            <w:gridSpan w:val="8"/>
            <w:tcBorders>
              <w:top w:val="single" w:color="000000" w:sz="6" w:space="0"/>
              <w:left w:val="single" w:color="000000" w:sz="6" w:space="0"/>
              <w:bottom w:val="nil"/>
              <w:right w:val="single" w:color="000000" w:sz="6" w:space="0"/>
            </w:tcBorders>
            <w:shd w:val="clear" w:color="auto" w:fill="auto"/>
            <w:tcMar>
              <w:top w:w="15" w:type="dxa"/>
              <w:left w:w="15" w:type="dxa"/>
              <w:bottom w:w="15" w:type="dxa"/>
              <w:right w:w="15" w:type="dxa"/>
            </w:tcMar>
            <w:vAlign w:val="center"/>
          </w:tcPr>
          <w:p>
            <w:pPr>
              <w:rPr>
                <w:sz w:val="22"/>
                <w:szCs w:val="22"/>
                <w:lang w:val="en-US"/>
              </w:rPr>
            </w:pPr>
            <w:r>
              <w:rPr>
                <w:sz w:val="22"/>
                <w:szCs w:val="22"/>
                <w:lang w:val="en-US"/>
              </w:rPr>
              <w:t>侯爱利 等</w:t>
            </w:r>
          </w:p>
        </w:tc>
        <w:tc>
          <w:tcPr>
            <w:tcW w:w="1776" w:type="dxa"/>
            <w:tcBorders>
              <w:top w:val="single" w:color="000000" w:sz="6" w:space="0"/>
              <w:left w:val="single" w:color="000000" w:sz="6" w:space="0"/>
              <w:bottom w:val="nil"/>
              <w:right w:val="single" w:color="000000" w:sz="6" w:space="0"/>
            </w:tcBorders>
            <w:shd w:val="clear" w:color="auto" w:fill="auto"/>
            <w:tcMar>
              <w:top w:w="15" w:type="dxa"/>
              <w:left w:w="15" w:type="dxa"/>
              <w:bottom w:w="15" w:type="dxa"/>
              <w:right w:w="15" w:type="dxa"/>
            </w:tcMar>
            <w:vAlign w:val="center"/>
          </w:tcPr>
          <w:p>
            <w:pPr>
              <w:jc w:val="center"/>
              <w:rPr>
                <w:sz w:val="22"/>
                <w:szCs w:val="22"/>
                <w:lang w:val="en-US"/>
              </w:rPr>
            </w:pPr>
            <w:r>
              <w:rPr>
                <w:sz w:val="22"/>
                <w:szCs w:val="22"/>
              </w:rPr>
              <w:t>共</w:t>
            </w:r>
            <w:r>
              <w:rPr>
                <w:sz w:val="22"/>
                <w:szCs w:val="22"/>
                <w:lang w:val="en-US"/>
              </w:rPr>
              <w:t xml:space="preserve">1 </w:t>
            </w:r>
            <w:r>
              <w:rPr>
                <w:sz w:val="22"/>
                <w:szCs w:val="22"/>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color="auto" w:fill="auto"/>
            <w:tcMar>
              <w:top w:w="15" w:type="dxa"/>
              <w:left w:w="15" w:type="dxa"/>
              <w:bottom w:w="15" w:type="dxa"/>
              <w:right w:w="15" w:type="dxa"/>
            </w:tcMar>
            <w:vAlign w:val="center"/>
          </w:tcPr>
          <w:p>
            <w:pPr>
              <w:jc w:val="center"/>
              <w:rPr>
                <w:sz w:val="22"/>
                <w:szCs w:val="22"/>
                <w:lang w:val="en-US"/>
              </w:rPr>
            </w:pPr>
            <w:r>
              <w:rPr>
                <w:sz w:val="22"/>
                <w:szCs w:val="22"/>
              </w:rPr>
              <w:t>界别</w:t>
            </w:r>
          </w:p>
        </w:tc>
        <w:tc>
          <w:tcPr>
            <w:tcW w:w="3771" w:type="dxa"/>
            <w:gridSpan w:val="4"/>
            <w:tcBorders>
              <w:top w:val="single" w:color="000000" w:sz="6" w:space="0"/>
              <w:left w:val="single" w:color="000000" w:sz="6" w:space="0"/>
              <w:bottom w:val="nil"/>
              <w:right w:val="single" w:color="000000" w:sz="6" w:space="0"/>
            </w:tcBorders>
            <w:shd w:val="clear" w:color="auto" w:fill="auto"/>
            <w:tcMar>
              <w:top w:w="15" w:type="dxa"/>
              <w:left w:w="15" w:type="dxa"/>
              <w:bottom w:w="15" w:type="dxa"/>
              <w:right w:w="15" w:type="dxa"/>
            </w:tcMar>
            <w:vAlign w:val="center"/>
          </w:tcPr>
          <w:p>
            <w:pPr>
              <w:rPr>
                <w:sz w:val="22"/>
                <w:szCs w:val="22"/>
                <w:lang w:val="en-US"/>
              </w:rPr>
            </w:pPr>
            <w:r>
              <w:rPr>
                <w:sz w:val="22"/>
                <w:szCs w:val="22"/>
                <w:lang w:val="en-US"/>
              </w:rPr>
              <w:t>医药卫生界</w:t>
            </w:r>
          </w:p>
        </w:tc>
        <w:tc>
          <w:tcPr>
            <w:tcW w:w="1616" w:type="dxa"/>
            <w:gridSpan w:val="2"/>
            <w:tcBorders>
              <w:top w:val="single" w:color="000000" w:sz="6" w:space="0"/>
              <w:left w:val="single" w:color="000000" w:sz="6" w:space="0"/>
              <w:bottom w:val="nil"/>
              <w:right w:val="single" w:color="000000" w:sz="6" w:space="0"/>
            </w:tcBorders>
            <w:shd w:val="clear" w:color="auto" w:fill="auto"/>
            <w:tcMar>
              <w:top w:w="15" w:type="dxa"/>
              <w:left w:w="15" w:type="dxa"/>
              <w:bottom w:w="15" w:type="dxa"/>
              <w:right w:w="15" w:type="dxa"/>
            </w:tcMar>
            <w:vAlign w:val="center"/>
          </w:tcPr>
          <w:p>
            <w:pPr>
              <w:jc w:val="center"/>
              <w:rPr>
                <w:sz w:val="22"/>
                <w:szCs w:val="22"/>
                <w:lang w:val="en-US"/>
              </w:rPr>
            </w:pPr>
            <w:r>
              <w:rPr>
                <w:sz w:val="22"/>
                <w:szCs w:val="22"/>
              </w:rPr>
              <w:t>委员证号</w:t>
            </w:r>
          </w:p>
        </w:tc>
        <w:tc>
          <w:tcPr>
            <w:tcW w:w="3641" w:type="dxa"/>
            <w:gridSpan w:val="3"/>
            <w:tcBorders>
              <w:top w:val="single" w:color="000000" w:sz="6" w:space="0"/>
              <w:left w:val="single" w:color="000000" w:sz="6" w:space="0"/>
              <w:bottom w:val="nil"/>
              <w:right w:val="single" w:color="000000" w:sz="6" w:space="0"/>
            </w:tcBorders>
            <w:shd w:val="clear" w:color="auto" w:fill="auto"/>
            <w:tcMar>
              <w:top w:w="15" w:type="dxa"/>
              <w:left w:w="15" w:type="dxa"/>
              <w:bottom w:w="15" w:type="dxa"/>
              <w:right w:w="15" w:type="dxa"/>
            </w:tcMar>
            <w:vAlign w:val="center"/>
          </w:tcPr>
          <w:p>
            <w:pPr>
              <w:rPr>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color="auto" w:fill="auto"/>
            <w:tcMar>
              <w:top w:w="15" w:type="dxa"/>
              <w:left w:w="15" w:type="dxa"/>
              <w:bottom w:w="15" w:type="dxa"/>
              <w:right w:w="15" w:type="dxa"/>
            </w:tcMar>
            <w:vAlign w:val="center"/>
          </w:tcPr>
          <w:p>
            <w:pPr>
              <w:jc w:val="center"/>
              <w:rPr>
                <w:sz w:val="22"/>
                <w:szCs w:val="22"/>
                <w:lang w:val="en-US"/>
              </w:rPr>
            </w:pPr>
            <w:r>
              <w:rPr>
                <w:sz w:val="22"/>
                <w:szCs w:val="22"/>
              </w:rPr>
              <w:t>邮政编码</w:t>
            </w:r>
          </w:p>
        </w:tc>
        <w:tc>
          <w:tcPr>
            <w:tcW w:w="3771" w:type="dxa"/>
            <w:gridSpan w:val="4"/>
            <w:tcBorders>
              <w:top w:val="single" w:color="000000" w:sz="6" w:space="0"/>
              <w:left w:val="single" w:color="000000" w:sz="6" w:space="0"/>
              <w:bottom w:val="nil"/>
              <w:right w:val="single" w:color="000000" w:sz="6" w:space="0"/>
            </w:tcBorders>
            <w:shd w:val="clear" w:color="auto" w:fill="auto"/>
            <w:tcMar>
              <w:top w:w="15" w:type="dxa"/>
              <w:left w:w="15" w:type="dxa"/>
              <w:bottom w:w="15" w:type="dxa"/>
              <w:right w:w="15" w:type="dxa"/>
            </w:tcMar>
            <w:vAlign w:val="center"/>
          </w:tcPr>
          <w:p>
            <w:pPr>
              <w:rPr>
                <w:sz w:val="22"/>
                <w:szCs w:val="22"/>
                <w:lang w:val="en-US"/>
              </w:rPr>
            </w:pPr>
          </w:p>
        </w:tc>
        <w:tc>
          <w:tcPr>
            <w:tcW w:w="1616" w:type="dxa"/>
            <w:gridSpan w:val="2"/>
            <w:tcBorders>
              <w:top w:val="single" w:color="000000" w:sz="6" w:space="0"/>
              <w:left w:val="single" w:color="000000" w:sz="6" w:space="0"/>
              <w:bottom w:val="nil"/>
              <w:right w:val="single" w:color="000000" w:sz="6" w:space="0"/>
            </w:tcBorders>
            <w:shd w:val="clear" w:color="auto" w:fill="auto"/>
            <w:tcMar>
              <w:top w:w="15" w:type="dxa"/>
              <w:left w:w="15" w:type="dxa"/>
              <w:bottom w:w="15" w:type="dxa"/>
              <w:right w:w="15" w:type="dxa"/>
            </w:tcMar>
            <w:vAlign w:val="center"/>
          </w:tcPr>
          <w:p>
            <w:pPr>
              <w:jc w:val="center"/>
              <w:rPr>
                <w:sz w:val="22"/>
                <w:szCs w:val="22"/>
                <w:lang w:val="en-US"/>
              </w:rPr>
            </w:pPr>
            <w:r>
              <w:rPr>
                <w:sz w:val="22"/>
                <w:szCs w:val="22"/>
                <w:lang w:val="en-US"/>
              </w:rPr>
              <w:t>E-mail</w:t>
            </w:r>
          </w:p>
        </w:tc>
        <w:tc>
          <w:tcPr>
            <w:tcW w:w="3641" w:type="dxa"/>
            <w:gridSpan w:val="3"/>
            <w:tcBorders>
              <w:top w:val="single" w:color="000000" w:sz="6" w:space="0"/>
              <w:left w:val="single" w:color="000000" w:sz="6" w:space="0"/>
              <w:bottom w:val="nil"/>
              <w:right w:val="single" w:color="000000" w:sz="6" w:space="0"/>
            </w:tcBorders>
            <w:shd w:val="clear" w:color="auto" w:fill="auto"/>
            <w:tcMar>
              <w:top w:w="15" w:type="dxa"/>
              <w:left w:w="15" w:type="dxa"/>
              <w:bottom w:w="15" w:type="dxa"/>
              <w:right w:w="15" w:type="dxa"/>
            </w:tcMar>
            <w:vAlign w:val="center"/>
          </w:tcPr>
          <w:p>
            <w:pPr>
              <w:rPr>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color="auto" w:fill="auto"/>
            <w:tcMar>
              <w:top w:w="15" w:type="dxa"/>
              <w:left w:w="15" w:type="dxa"/>
              <w:bottom w:w="15" w:type="dxa"/>
              <w:right w:w="15" w:type="dxa"/>
            </w:tcMar>
            <w:vAlign w:val="center"/>
          </w:tcPr>
          <w:p>
            <w:pPr>
              <w:jc w:val="center"/>
              <w:rPr>
                <w:color w:val="FF0000"/>
                <w:sz w:val="22"/>
                <w:szCs w:val="22"/>
                <w:lang w:val="en-US"/>
              </w:rPr>
            </w:pPr>
            <w:r>
              <w:rPr>
                <w:color w:val="FF0000"/>
                <w:sz w:val="22"/>
                <w:szCs w:val="22"/>
              </w:rPr>
              <w:t>所属专委会</w:t>
            </w:r>
          </w:p>
        </w:tc>
        <w:tc>
          <w:tcPr>
            <w:tcW w:w="3771" w:type="dxa"/>
            <w:gridSpan w:val="4"/>
            <w:tcBorders>
              <w:top w:val="single" w:color="000000" w:sz="6" w:space="0"/>
              <w:left w:val="single" w:color="000000" w:sz="6" w:space="0"/>
              <w:bottom w:val="nil"/>
              <w:right w:val="single" w:color="000000" w:sz="6" w:space="0"/>
            </w:tcBorders>
            <w:shd w:val="clear" w:color="auto" w:fill="auto"/>
            <w:tcMar>
              <w:top w:w="15" w:type="dxa"/>
              <w:left w:w="15" w:type="dxa"/>
              <w:bottom w:w="15" w:type="dxa"/>
              <w:right w:w="15" w:type="dxa"/>
            </w:tcMar>
            <w:vAlign w:val="center"/>
          </w:tcPr>
          <w:p>
            <w:pPr>
              <w:rPr>
                <w:sz w:val="22"/>
                <w:szCs w:val="22"/>
                <w:lang w:val="en-US"/>
              </w:rPr>
            </w:pPr>
            <w:r>
              <w:rPr>
                <w:sz w:val="22"/>
                <w:szCs w:val="22"/>
                <w:lang w:val="en-US"/>
              </w:rPr>
              <w:t>文教卫体和文史委员会</w:t>
            </w:r>
          </w:p>
        </w:tc>
        <w:tc>
          <w:tcPr>
            <w:tcW w:w="1616" w:type="dxa"/>
            <w:gridSpan w:val="2"/>
            <w:tcBorders>
              <w:top w:val="single" w:color="000000" w:sz="6" w:space="0"/>
              <w:left w:val="single" w:color="000000" w:sz="6" w:space="0"/>
              <w:bottom w:val="nil"/>
              <w:right w:val="single" w:color="000000" w:sz="6" w:space="0"/>
            </w:tcBorders>
            <w:shd w:val="clear" w:color="auto" w:fill="auto"/>
            <w:tcMar>
              <w:top w:w="15" w:type="dxa"/>
              <w:left w:w="15" w:type="dxa"/>
              <w:bottom w:w="15" w:type="dxa"/>
              <w:right w:w="15" w:type="dxa"/>
            </w:tcMar>
            <w:vAlign w:val="center"/>
          </w:tcPr>
          <w:p>
            <w:pPr>
              <w:jc w:val="center"/>
              <w:rPr>
                <w:color w:val="FF0000"/>
                <w:sz w:val="22"/>
                <w:szCs w:val="22"/>
                <w:lang w:val="en-US"/>
              </w:rPr>
            </w:pPr>
            <w:r>
              <w:rPr>
                <w:color w:val="FF0000"/>
                <w:sz w:val="22"/>
                <w:szCs w:val="22"/>
              </w:rPr>
              <w:t>所驻地市</w:t>
            </w:r>
          </w:p>
        </w:tc>
        <w:tc>
          <w:tcPr>
            <w:tcW w:w="3641" w:type="dxa"/>
            <w:gridSpan w:val="3"/>
            <w:tcBorders>
              <w:top w:val="single" w:color="000000" w:sz="6" w:space="0"/>
              <w:left w:val="single" w:color="000000" w:sz="6" w:space="0"/>
              <w:bottom w:val="nil"/>
              <w:right w:val="single" w:color="000000" w:sz="6" w:space="0"/>
            </w:tcBorders>
            <w:shd w:val="clear" w:color="auto" w:fill="auto"/>
            <w:tcMar>
              <w:top w:w="15" w:type="dxa"/>
              <w:left w:w="15" w:type="dxa"/>
              <w:bottom w:w="15" w:type="dxa"/>
              <w:right w:w="15" w:type="dxa"/>
            </w:tcMar>
            <w:vAlign w:val="center"/>
          </w:tcPr>
          <w:p>
            <w:pPr>
              <w:rPr>
                <w:sz w:val="22"/>
                <w:szCs w:val="22"/>
                <w:lang w:val="en-US"/>
              </w:rPr>
            </w:pPr>
            <w:r>
              <w:rPr>
                <w:sz w:val="22"/>
                <w:szCs w:val="22"/>
                <w:lang w:val="en-US"/>
              </w:rPr>
              <w:t>湖南省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color="auto" w:fill="auto"/>
            <w:tcMar>
              <w:top w:w="15" w:type="dxa"/>
              <w:left w:w="15" w:type="dxa"/>
              <w:bottom w:w="15" w:type="dxa"/>
              <w:right w:w="15" w:type="dxa"/>
            </w:tcMar>
            <w:vAlign w:val="center"/>
          </w:tcPr>
          <w:p>
            <w:pPr>
              <w:jc w:val="center"/>
              <w:rPr>
                <w:color w:val="FF0000"/>
                <w:sz w:val="22"/>
                <w:szCs w:val="22"/>
                <w:lang w:val="en-US"/>
              </w:rPr>
            </w:pPr>
            <w:r>
              <w:rPr>
                <w:color w:val="FF0000"/>
                <w:sz w:val="22"/>
                <w:szCs w:val="22"/>
              </w:rPr>
              <w:t>单位职务</w:t>
            </w:r>
          </w:p>
        </w:tc>
        <w:tc>
          <w:tcPr>
            <w:tcW w:w="9028" w:type="dxa"/>
            <w:gridSpan w:val="9"/>
            <w:tcBorders>
              <w:top w:val="single" w:color="000000" w:sz="6" w:space="0"/>
              <w:left w:val="single" w:color="000000" w:sz="6" w:space="0"/>
              <w:bottom w:val="nil"/>
              <w:right w:val="single" w:color="000000" w:sz="6" w:space="0"/>
            </w:tcBorders>
            <w:shd w:val="clear" w:color="auto" w:fill="auto"/>
            <w:tcMar>
              <w:top w:w="15" w:type="dxa"/>
              <w:left w:w="15" w:type="dxa"/>
              <w:bottom w:w="15" w:type="dxa"/>
              <w:right w:w="15" w:type="dxa"/>
            </w:tcMar>
            <w:vAlign w:val="center"/>
          </w:tcPr>
          <w:p>
            <w:pPr>
              <w:rPr>
                <w:sz w:val="22"/>
                <w:szCs w:val="22"/>
                <w:lang w:val="en-US"/>
              </w:rPr>
            </w:pPr>
            <w:r>
              <w:rPr>
                <w:sz w:val="22"/>
                <w:szCs w:val="22"/>
                <w:lang w:val="en-US"/>
              </w:rPr>
              <w:t>株洲三三一爱尔眼科医院CEO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color w:val="FF0000"/>
                <w:sz w:val="22"/>
                <w:szCs w:val="22"/>
                <w:lang w:val="en-US"/>
              </w:rPr>
            </w:pPr>
            <w:r>
              <w:rPr>
                <w:color w:val="FF0000"/>
                <w:sz w:val="22"/>
                <w:szCs w:val="22"/>
              </w:rPr>
              <w:t>通讯地址</w:t>
            </w:r>
            <w:r>
              <w:rPr>
                <w:color w:val="FF0000"/>
                <w:sz w:val="22"/>
                <w:szCs w:val="22"/>
                <w:lang w:val="en-US"/>
              </w:rPr>
              <w:t xml:space="preserve"> </w:t>
            </w:r>
          </w:p>
        </w:tc>
        <w:tc>
          <w:tcPr>
            <w:tcW w:w="9028" w:type="dxa"/>
            <w:gridSpan w:val="9"/>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color w:val="FF0000"/>
                <w:sz w:val="22"/>
                <w:szCs w:val="22"/>
                <w:lang w:val="en-US"/>
              </w:rPr>
            </w:pPr>
            <w:r>
              <w:rPr>
                <w:color w:val="FF0000"/>
                <w:sz w:val="22"/>
                <w:szCs w:val="22"/>
              </w:rPr>
              <w:t>联系电话</w:t>
            </w:r>
          </w:p>
        </w:tc>
        <w:tc>
          <w:tcPr>
            <w:tcW w:w="9028" w:type="dxa"/>
            <w:gridSpan w:val="9"/>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sz w:val="22"/>
                <w:szCs w:val="22"/>
                <w:lang w:val="en-US"/>
              </w:rPr>
            </w:pPr>
            <w:r>
              <w:rPr>
                <w:sz w:val="22"/>
                <w:szCs w:val="22"/>
              </w:rPr>
              <w:t>是否公开发表</w:t>
            </w:r>
          </w:p>
        </w:tc>
        <w:tc>
          <w:tcPr>
            <w:tcW w:w="3771" w:type="dxa"/>
            <w:gridSpan w:val="4"/>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sz w:val="22"/>
                <w:szCs w:val="22"/>
                <w:lang w:val="en-US"/>
              </w:rPr>
            </w:pPr>
            <w:r>
              <w:rPr>
                <w:sz w:val="22"/>
                <w:szCs w:val="22"/>
                <w:lang w:val="en-US"/>
              </w:rPr>
              <w:t>是</w:t>
            </w:r>
          </w:p>
        </w:tc>
        <w:tc>
          <w:tcPr>
            <w:tcW w:w="1616"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sz w:val="22"/>
                <w:szCs w:val="22"/>
                <w:lang w:val="en-US"/>
              </w:rPr>
            </w:pPr>
            <w:r>
              <w:rPr>
                <w:sz w:val="22"/>
                <w:szCs w:val="22"/>
              </w:rPr>
              <w:t>是否同意其他委员参阅</w:t>
            </w:r>
          </w:p>
        </w:tc>
        <w:tc>
          <w:tcPr>
            <w:tcW w:w="3641" w:type="dxa"/>
            <w:gridSpan w:val="3"/>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sz w:val="22"/>
                <w:szCs w:val="22"/>
                <w:lang w:val="en-US"/>
              </w:rPr>
            </w:pPr>
            <w:r>
              <w:rPr>
                <w:sz w:val="22"/>
                <w:szCs w:val="22"/>
                <w:lang w:val="en-US"/>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sz w:val="22"/>
                <w:szCs w:val="22"/>
                <w:lang w:val="en-US"/>
              </w:rPr>
            </w:pPr>
            <w:r>
              <w:rPr>
                <w:sz w:val="22"/>
                <w:szCs w:val="22"/>
              </w:rPr>
              <w:t>是否经过调研</w:t>
            </w:r>
          </w:p>
        </w:tc>
        <w:tc>
          <w:tcPr>
            <w:tcW w:w="3771" w:type="dxa"/>
            <w:gridSpan w:val="4"/>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sz w:val="22"/>
                <w:szCs w:val="22"/>
                <w:lang w:val="en-US"/>
              </w:rPr>
            </w:pPr>
            <w:r>
              <w:rPr>
                <w:sz w:val="22"/>
                <w:szCs w:val="22"/>
                <w:lang w:val="en-US"/>
              </w:rPr>
              <w:t>是</w:t>
            </w:r>
          </w:p>
        </w:tc>
        <w:tc>
          <w:tcPr>
            <w:tcW w:w="1616"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sz w:val="22"/>
                <w:szCs w:val="22"/>
                <w:lang w:val="en-US"/>
              </w:rPr>
            </w:pPr>
            <w:r>
              <w:rPr>
                <w:sz w:val="22"/>
                <w:szCs w:val="22"/>
              </w:rPr>
              <w:t>是否往年已提</w:t>
            </w:r>
          </w:p>
        </w:tc>
        <w:tc>
          <w:tcPr>
            <w:tcW w:w="3641" w:type="dxa"/>
            <w:gridSpan w:val="3"/>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sz w:val="22"/>
                <w:szCs w:val="22"/>
                <w:lang w:val="en-US"/>
              </w:rPr>
            </w:pPr>
            <w:r>
              <w:rPr>
                <w:sz w:val="22"/>
                <w:szCs w:val="22"/>
                <w:lang w:val="en-US"/>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sz w:val="22"/>
                <w:szCs w:val="22"/>
                <w:lang w:val="en-US"/>
              </w:rPr>
            </w:pPr>
            <w:r>
              <w:rPr>
                <w:sz w:val="22"/>
                <w:szCs w:val="22"/>
              </w:rPr>
              <w:t>主题词</w:t>
            </w:r>
          </w:p>
        </w:tc>
        <w:tc>
          <w:tcPr>
            <w:tcW w:w="9028" w:type="dxa"/>
            <w:gridSpan w:val="9"/>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sz w:val="22"/>
                <w:szCs w:val="22"/>
                <w:lang w:val="en-US"/>
              </w:rPr>
            </w:pPr>
            <w:r>
              <w:rPr>
                <w:sz w:val="22"/>
                <w:szCs w:val="22"/>
              </w:rPr>
              <w:t>希望办理的承办单位</w:t>
            </w:r>
            <w:r>
              <w:rPr>
                <w:sz w:val="22"/>
                <w:szCs w:val="22"/>
                <w:lang w:val="en-US"/>
              </w:rPr>
              <w:t>(</w:t>
            </w:r>
            <w:r>
              <w:rPr>
                <w:sz w:val="22"/>
                <w:szCs w:val="22"/>
              </w:rPr>
              <w:t>供参考</w:t>
            </w:r>
            <w:r>
              <w:rPr>
                <w:sz w:val="22"/>
                <w:szCs w:val="22"/>
                <w:lang w:val="en-US"/>
              </w:rPr>
              <w:t>)</w:t>
            </w:r>
          </w:p>
        </w:tc>
        <w:tc>
          <w:tcPr>
            <w:tcW w:w="9028" w:type="dxa"/>
            <w:gridSpan w:val="9"/>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sz w:val="22"/>
                <w:szCs w:val="22"/>
                <w:lang w:val="en-US"/>
              </w:rPr>
            </w:pPr>
            <w:r>
              <w:rPr>
                <w:sz w:val="22"/>
                <w:szCs w:val="22"/>
                <w:lang w:val="en-US"/>
              </w:rPr>
              <w:t>省医保局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color w:val="FF0000"/>
                <w:sz w:val="22"/>
                <w:szCs w:val="22"/>
                <w:lang w:val="en-US"/>
              </w:rPr>
            </w:pPr>
            <w:r>
              <w:rPr>
                <w:color w:val="FF0000"/>
                <w:sz w:val="22"/>
                <w:szCs w:val="22"/>
              </w:rPr>
              <w:t>提交日期</w:t>
            </w:r>
          </w:p>
        </w:tc>
        <w:tc>
          <w:tcPr>
            <w:tcW w:w="9028" w:type="dxa"/>
            <w:gridSpan w:val="9"/>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sz w:val="22"/>
                <w:szCs w:val="22"/>
                <w:lang w:val="en-US"/>
              </w:rPr>
            </w:pPr>
            <w:r>
              <w:rPr>
                <w:sz w:val="22"/>
                <w:szCs w:val="22"/>
                <w:lang w:val="en-US"/>
              </w:rPr>
              <w:t>2023-01-13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sz w:val="22"/>
                <w:szCs w:val="22"/>
                <w:lang w:val="en-US"/>
              </w:rPr>
            </w:pPr>
            <w:r>
              <w:rPr>
                <w:sz w:val="22"/>
                <w:szCs w:val="22"/>
              </w:rPr>
              <w:t>审查意见</w:t>
            </w:r>
            <w:r>
              <w:rPr>
                <w:sz w:val="22"/>
                <w:szCs w:val="22"/>
                <w:lang w:val="en-US"/>
              </w:rPr>
              <w:t xml:space="preserve"> </w:t>
            </w:r>
          </w:p>
        </w:tc>
        <w:tc>
          <w:tcPr>
            <w:tcW w:w="6450" w:type="dxa"/>
            <w:gridSpan w:val="7"/>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sz w:val="22"/>
                <w:szCs w:val="22"/>
                <w:lang w:val="en-US"/>
              </w:rPr>
            </w:pPr>
          </w:p>
        </w:tc>
        <w:tc>
          <w:tcPr>
            <w:tcW w:w="2578"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745" w:type="dxa"/>
            <w:gridSpan w:val="2"/>
            <w:vMerge w:val="restar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sz w:val="22"/>
                <w:szCs w:val="22"/>
                <w:lang w:val="en-US"/>
              </w:rPr>
            </w:pPr>
            <w:r>
              <w:rPr>
                <w:sz w:val="22"/>
                <w:szCs w:val="22"/>
              </w:rPr>
              <w:t>办理单位</w:t>
            </w:r>
            <w:r>
              <w:rPr>
                <w:sz w:val="22"/>
                <w:szCs w:val="22"/>
                <w:lang w:val="en-US"/>
              </w:rPr>
              <w:t xml:space="preserve"> </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sz w:val="22"/>
                <w:szCs w:val="22"/>
                <w:lang w:val="en-US"/>
              </w:rPr>
            </w:pPr>
            <w:r>
              <w:rPr>
                <w:sz w:val="22"/>
                <w:szCs w:val="22"/>
                <w:lang w:val="en-US"/>
              </w:rPr>
              <w:t>主办</w:t>
            </w:r>
          </w:p>
        </w:tc>
        <w:tc>
          <w:tcPr>
            <w:tcW w:w="8008" w:type="dxa"/>
            <w:gridSpan w:val="8"/>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sz w:val="22"/>
                <w:szCs w:val="22"/>
                <w:lang w:val="en-US"/>
              </w:rPr>
            </w:pPr>
            <w:r>
              <w:rPr>
                <w:sz w:val="22"/>
                <w:szCs w:val="22"/>
                <w:lang w:val="en-US"/>
              </w:rPr>
              <w:t>省医保局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745"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default" w:ascii="Times New Roman" w:hAnsi="Times New Roman" w:cs="Times New Roman"/>
                <w:sz w:val="20"/>
                <w:szCs w:val="20"/>
              </w:rPr>
            </w:pP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sz w:val="22"/>
                <w:szCs w:val="22"/>
                <w:lang w:val="en-US"/>
              </w:rPr>
            </w:pPr>
            <w:r>
              <w:rPr>
                <w:sz w:val="22"/>
                <w:szCs w:val="22"/>
                <w:lang w:val="en-US"/>
              </w:rPr>
              <w:t>会办</w:t>
            </w:r>
          </w:p>
        </w:tc>
        <w:tc>
          <w:tcPr>
            <w:tcW w:w="8008" w:type="dxa"/>
            <w:gridSpan w:val="8"/>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sz w:val="22"/>
                <w:szCs w:val="22"/>
                <w:lang w:val="en-US"/>
              </w:rPr>
            </w:pPr>
            <w:r>
              <w:rPr>
                <w:sz w:val="22"/>
                <w:szCs w:val="22"/>
              </w:rPr>
              <w:t>提案内容（包括案由、案据和方案）</w:t>
            </w:r>
            <w:r>
              <w:rPr>
                <w:sz w:val="22"/>
                <w:szCs w:val="22"/>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11"/>
              <w:ind w:left="0" w:firstLine="645"/>
            </w:pPr>
            <w:r>
              <w:rPr>
                <w:rFonts w:ascii="方正仿宋_GBK" w:hAnsi="方正仿宋_GBK" w:eastAsia="方正仿宋_GBK" w:cs="方正仿宋_GBK"/>
                <w:sz w:val="31"/>
                <w:szCs w:val="31"/>
                <w:lang w:val="en-US"/>
              </w:rPr>
              <w:t>DRG</w:t>
            </w:r>
            <w:r>
              <w:rPr>
                <w:rFonts w:hint="eastAsia" w:ascii="方正仿宋_GBK" w:hAnsi="方正仿宋_GBK" w:eastAsia="方正仿宋_GBK" w:cs="方正仿宋_GBK"/>
                <w:sz w:val="31"/>
                <w:szCs w:val="31"/>
                <w:lang w:val="en-US"/>
              </w:rPr>
              <w:t>支付方式改革对规范医疗服务行为，提高医保基金使用效率，提升医保科学化、精细化、信息化管理服务水平、助力医疗机构高质量发展有着积极作用。</w:t>
            </w:r>
          </w:p>
          <w:p>
            <w:pPr>
              <w:pStyle w:val="11"/>
              <w:ind w:left="0" w:firstLine="645"/>
            </w:pPr>
            <w:r>
              <w:rPr>
                <w:rFonts w:hint="eastAsia" w:ascii="方正仿宋_GBK" w:hAnsi="方正仿宋_GBK" w:eastAsia="方正仿宋_GBK" w:cs="方正仿宋_GBK"/>
                <w:sz w:val="31"/>
                <w:szCs w:val="31"/>
                <w:lang w:val="en-US"/>
              </w:rPr>
              <w:t>爱尔眼科作为专业的眼科医院，多家医院设有科研带教基地，拥有更为先进的诊疗设备及诊疗水平，在DRG改革实施过程中，发现了一些亟需解决的具体问题：</w:t>
            </w:r>
          </w:p>
          <w:p>
            <w:pPr>
              <w:pStyle w:val="11"/>
              <w:ind w:left="0" w:firstLine="645"/>
            </w:pPr>
            <w:r>
              <w:rPr>
                <w:rFonts w:hint="eastAsia" w:ascii="方正仿宋_GBK" w:hAnsi="方正仿宋_GBK" w:eastAsia="方正仿宋_GBK" w:cs="方正仿宋_GBK"/>
                <w:sz w:val="31"/>
                <w:szCs w:val="31"/>
                <w:lang w:val="en-US"/>
              </w:rPr>
              <w:t>1、DRG付费主要是以病种付费，更多是满足患者的基本医疗要求，在医学不发达年代，人们做白内障手术只要</w:t>
            </w:r>
            <w:r>
              <w:rPr>
                <w:sz w:val="31"/>
                <w:szCs w:val="31"/>
                <w:lang w:val="en-US"/>
              </w:rPr>
              <w:t>“</w:t>
            </w:r>
            <w:r>
              <w:rPr>
                <w:rFonts w:hint="eastAsia" w:ascii="方正仿宋_GBK" w:hAnsi="方正仿宋_GBK" w:eastAsia="方正仿宋_GBK" w:cs="方正仿宋_GBK"/>
                <w:sz w:val="31"/>
                <w:szCs w:val="31"/>
                <w:lang w:val="en-US"/>
              </w:rPr>
              <w:t>看得见</w:t>
            </w:r>
            <w:r>
              <w:rPr>
                <w:sz w:val="31"/>
                <w:szCs w:val="31"/>
                <w:lang w:val="en-US"/>
              </w:rPr>
              <w:t>”</w:t>
            </w:r>
            <w:r>
              <w:rPr>
                <w:rFonts w:hint="eastAsia" w:ascii="方正仿宋_GBK" w:hAnsi="方正仿宋_GBK" w:eastAsia="方正仿宋_GBK" w:cs="方正仿宋_GBK"/>
                <w:sz w:val="31"/>
                <w:szCs w:val="31"/>
                <w:lang w:val="en-US"/>
              </w:rPr>
              <w:t>，能恢复视力就好，但随着人们生活质量的提升，科技的进步，白内障晶体有了更多的选择，高端晶体可以一次性解决大家的白内障、近视、老花等问题，而且切口小，恢复快，术后效果更好，但在DRG付费体系中，剥夺了患者的选择权，要么做低端，要么全自费，引来了大量的患者投诉与不满，因为其交了医保却不能享受到相应的权利。高值耗材生物羊膜遇到了同样的问题，明明具有更好的抗炎症、抗瘢痕、抗新生血管生成、提供生长因子、促进角膜上皮再生长、降低复发率等优势，在DRG付费系统中却不能报销。从而引发患者的不满与投诉。</w:t>
            </w:r>
          </w:p>
          <w:p>
            <w:pPr>
              <w:pStyle w:val="11"/>
              <w:ind w:left="0" w:firstLine="645"/>
            </w:pPr>
            <w:r>
              <w:rPr>
                <w:rFonts w:hint="eastAsia" w:ascii="方正仿宋_GBK" w:hAnsi="方正仿宋_GBK" w:eastAsia="方正仿宋_GBK" w:cs="方正仿宋_GBK"/>
                <w:sz w:val="31"/>
                <w:szCs w:val="31"/>
                <w:lang w:val="en-US"/>
              </w:rPr>
              <w:t>2、新技术的引进和使用困境，目前医院引进飞秒白内障治疗设备，改变了传统超声乳化白内障手术方式，传统白内障手术质量的好坏，与手术医生的技术有密切关系，存在一些手工操作的不确定因素，再厉害的手术医生，其手术过程中的切口、撕囊、劈核等关键步骤的稳定性都无法与飞秒手术相比。“飞白”手术的精准度以微米计算，医生在电脑成像系统的直视下操作，对患者的创伤减少到最小，“飞白”手术是迄今为止最先进的白内障治疗手段，但同样在DRG付费的改革背景下，新技术的使用受到限制，患者无法报销且不能选择自费。</w:t>
            </w:r>
          </w:p>
          <w:p>
            <w:pPr>
              <w:pStyle w:val="11"/>
              <w:ind w:left="0" w:firstLine="645"/>
            </w:pPr>
            <w:r>
              <w:rPr>
                <w:rFonts w:hint="eastAsia" w:ascii="方正仿宋_GBK" w:hAnsi="方正仿宋_GBK" w:eastAsia="方正仿宋_GBK" w:cs="方正仿宋_GBK"/>
                <w:sz w:val="31"/>
                <w:szCs w:val="31"/>
                <w:lang w:val="en-US"/>
              </w:rPr>
              <w:t>针对以上突出问题，特提出以下建议：</w:t>
            </w:r>
          </w:p>
          <w:p>
            <w:pPr>
              <w:pStyle w:val="11"/>
              <w:ind w:left="0" w:firstLine="645"/>
            </w:pPr>
            <w:r>
              <w:rPr>
                <w:rFonts w:hint="eastAsia" w:ascii="方正仿宋_GBK" w:hAnsi="方正仿宋_GBK" w:eastAsia="方正仿宋_GBK" w:cs="方正仿宋_GBK"/>
                <w:sz w:val="31"/>
                <w:szCs w:val="31"/>
                <w:lang w:val="en-US"/>
              </w:rPr>
              <w:t>1、推动技术发展，让更多患者享受高质量眼健康权利。</w:t>
            </w:r>
            <w:r>
              <w:rPr>
                <w:sz w:val="31"/>
                <w:szCs w:val="31"/>
                <w:lang w:val="en-US"/>
              </w:rPr>
              <w:t>“</w:t>
            </w:r>
            <w:r>
              <w:rPr>
                <w:rFonts w:hint="eastAsia" w:ascii="方正仿宋_GBK" w:hAnsi="方正仿宋_GBK" w:eastAsia="方正仿宋_GBK" w:cs="方正仿宋_GBK"/>
                <w:sz w:val="31"/>
                <w:szCs w:val="31"/>
                <w:lang w:val="en-US"/>
              </w:rPr>
              <w:t>飞白</w:t>
            </w:r>
            <w:r>
              <w:rPr>
                <w:sz w:val="31"/>
                <w:szCs w:val="31"/>
                <w:lang w:val="en-US"/>
              </w:rPr>
              <w:t>”</w:t>
            </w:r>
            <w:r>
              <w:rPr>
                <w:rFonts w:hint="eastAsia" w:ascii="方正仿宋_GBK" w:hAnsi="方正仿宋_GBK" w:eastAsia="方正仿宋_GBK" w:cs="方正仿宋_GBK"/>
                <w:sz w:val="31"/>
                <w:szCs w:val="31"/>
                <w:lang w:val="en-US"/>
              </w:rPr>
              <w:t>的引进给患者的手术方式提供了更多的选择权，建议患者根据自身需求选择新技术手术，而不是因为医保基金支付的限制而阻止了新技术在临床中的广泛运用，因此也希望“飞白”手术能不纳入DRG的考核，可以让更多的患者享受到新技术带来的福祉。</w:t>
            </w:r>
          </w:p>
          <w:p>
            <w:pPr>
              <w:pStyle w:val="11"/>
              <w:ind w:left="0" w:firstLine="645"/>
            </w:pPr>
            <w:r>
              <w:rPr>
                <w:rFonts w:hint="eastAsia" w:ascii="方正仿宋_GBK" w:hAnsi="方正仿宋_GBK" w:eastAsia="方正仿宋_GBK" w:cs="方正仿宋_GBK"/>
                <w:sz w:val="31"/>
                <w:szCs w:val="31"/>
                <w:lang w:val="en-US"/>
              </w:rPr>
              <w:t>2、尊重患者需求，允许高端晶体选择运用。建议患者根据自身经济能力的考量以及对手术质量的要求，自主选择使用高端晶体。新的医保改革也是为了更好满足人民群众多元化医疗保障需求，人民群众有更多的获得感及幸福感。为更好的促进新材料在临床的运用，如患者自愿承担所选高端晶体医保政策支付之外的费用，在保障基金与参保人双方权益不受损的情况下，请医保局允许该费用由患者自行承担差价，具体操作方式可采取门诊缴费补差价或在总额考核中剔除高端晶体的考核。</w:t>
            </w:r>
          </w:p>
          <w:p>
            <w:pPr>
              <w:pStyle w:val="11"/>
              <w:ind w:left="0" w:firstLine="645"/>
            </w:pPr>
            <w:r>
              <w:rPr>
                <w:rFonts w:hint="eastAsia" w:ascii="方正仿宋_GBK" w:hAnsi="方正仿宋_GBK" w:eastAsia="方正仿宋_GBK" w:cs="方正仿宋_GBK"/>
                <w:sz w:val="31"/>
                <w:szCs w:val="31"/>
                <w:lang w:val="en-US"/>
              </w:rPr>
              <w:t>3、改善术后体验，允许生物羊膜的使用。胬肉手术术后较多患者会有疼痛感强烈、伤口修复时间较长、易复发等症状，建议患者可根据自身需要选择使用生物羊膜，以达到更好的手术效果。目前胬肉手术实施的是单病种报销，报销比例低，并且有费用限额，因此羊膜的运用受到很大的限制，因此请医保局允许将羊膜费用由患者自行承担，采取门诊缴费方式或在总额考核时剔除。</w:t>
            </w:r>
          </w:p>
          <w:p>
            <w:pPr>
              <w:pStyle w:val="11"/>
              <w:ind w:left="0" w:firstLine="645"/>
            </w:pPr>
            <w:r>
              <w:rPr>
                <w:rFonts w:hint="eastAsia" w:ascii="方正仿宋_GBK" w:hAnsi="方正仿宋_GBK" w:eastAsia="方正仿宋_GBK" w:cs="方正仿宋_GBK"/>
                <w:sz w:val="31"/>
                <w:szCs w:val="31"/>
                <w:lang w:val="en-US"/>
              </w:rPr>
              <w:t>根据国务院办公厅关于印发</w:t>
            </w:r>
            <w:r>
              <w:rPr>
                <w:sz w:val="31"/>
                <w:szCs w:val="31"/>
                <w:lang w:val="en-US"/>
              </w:rPr>
              <w:t>“</w:t>
            </w:r>
            <w:r>
              <w:rPr>
                <w:rFonts w:hint="eastAsia" w:ascii="方正仿宋_GBK" w:hAnsi="方正仿宋_GBK" w:eastAsia="方正仿宋_GBK" w:cs="方正仿宋_GBK"/>
                <w:sz w:val="31"/>
                <w:szCs w:val="31"/>
                <w:lang w:val="en-US"/>
              </w:rPr>
              <w:t>十四五</w:t>
            </w:r>
            <w:r>
              <w:rPr>
                <w:sz w:val="31"/>
                <w:szCs w:val="31"/>
                <w:lang w:val="en-US"/>
              </w:rPr>
              <w:t>”</w:t>
            </w:r>
            <w:r>
              <w:rPr>
                <w:rFonts w:hint="eastAsia" w:ascii="方正仿宋_GBK" w:hAnsi="方正仿宋_GBK" w:eastAsia="方正仿宋_GBK" w:cs="方正仿宋_GBK"/>
                <w:sz w:val="31"/>
                <w:szCs w:val="31"/>
                <w:lang w:val="en-US"/>
              </w:rPr>
              <w:t>全民医疗保障规划的通知（国办发〔2021〕36号）文件中指出：以基本医疗保险为主体，医疗救助为托底，补充医疗保险、商业健康保险、慈善捐赠、医疗互助等共同发展的多层次医疗保障制度框架基本形成，更好满足了人民群众多元化医疗保障需求，政府主导公立医院保基本，民营医院允许做高端，患者可以选择个性化的服务或者高端的治疗，同时也能更好</w:t>
            </w:r>
            <w:bookmarkStart w:id="0" w:name="_GoBack"/>
            <w:bookmarkEnd w:id="0"/>
            <w:r>
              <w:rPr>
                <w:rFonts w:hint="eastAsia" w:ascii="方正仿宋_GBK" w:hAnsi="方正仿宋_GBK" w:eastAsia="方正仿宋_GBK" w:cs="方正仿宋_GBK"/>
                <w:sz w:val="31"/>
                <w:szCs w:val="31"/>
                <w:lang w:val="en-US" w:eastAsia="zh-CN"/>
              </w:rPr>
              <w:t>的</w:t>
            </w:r>
            <w:r>
              <w:rPr>
                <w:rFonts w:hint="eastAsia" w:ascii="方正仿宋_GBK" w:hAnsi="方正仿宋_GBK" w:eastAsia="方正仿宋_GBK" w:cs="方正仿宋_GBK"/>
                <w:sz w:val="31"/>
                <w:szCs w:val="31"/>
                <w:lang w:val="en-US"/>
              </w:rPr>
              <w:t>推动国家医疗技术及诊疗水平的进步。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b/>
                <w:bCs w:val="0"/>
                <w:sz w:val="22"/>
                <w:szCs w:val="22"/>
                <w:lang w:val="en-US"/>
              </w:rPr>
            </w:pPr>
            <w:r>
              <w:rPr>
                <w:b/>
                <w:bCs w:val="0"/>
                <w:sz w:val="22"/>
                <w:szCs w:val="22"/>
              </w:rPr>
              <w:t>联系人</w:t>
            </w:r>
            <w:r>
              <w:rPr>
                <w:b/>
                <w:bCs w:val="0"/>
                <w:sz w:val="22"/>
                <w:szCs w:val="22"/>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lang w:val="en-US"/>
              </w:rPr>
            </w:pPr>
            <w:r>
              <w:rPr>
                <w:sz w:val="22"/>
                <w:szCs w:val="22"/>
              </w:rPr>
              <w:t>姓名</w:t>
            </w:r>
          </w:p>
        </w:tc>
        <w:tc>
          <w:tcPr>
            <w:tcW w:w="3271" w:type="dxa"/>
            <w:gridSpan w:val="4"/>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lang w:val="en-US"/>
              </w:rPr>
            </w:pPr>
            <w:r>
              <w:rPr>
                <w:sz w:val="22"/>
                <w:szCs w:val="22"/>
              </w:rPr>
              <w:t>联系电话</w:t>
            </w:r>
          </w:p>
        </w:tc>
        <w:tc>
          <w:tcPr>
            <w:tcW w:w="6311" w:type="dxa"/>
            <w:gridSpan w:val="6"/>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lang w:val="en-US"/>
              </w:rPr>
            </w:pPr>
            <w:r>
              <w:rPr>
                <w:sz w:val="22"/>
                <w:szCs w:val="22"/>
              </w:rPr>
              <w:t>通讯地址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b/>
                <w:bCs w:val="0"/>
                <w:sz w:val="22"/>
                <w:szCs w:val="22"/>
                <w:lang w:val="en-US"/>
              </w:rPr>
            </w:pPr>
            <w:r>
              <w:rPr>
                <w:b/>
                <w:bCs w:val="0"/>
                <w:sz w:val="22"/>
                <w:szCs w:val="22"/>
              </w:rPr>
              <w:t>联名人</w:t>
            </w:r>
            <w:r>
              <w:rPr>
                <w:b/>
                <w:bCs w:val="0"/>
                <w:sz w:val="22"/>
                <w:szCs w:val="22"/>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lang w:val="en-US"/>
              </w:rPr>
            </w:pPr>
            <w:r>
              <w:rPr>
                <w:sz w:val="22"/>
                <w:szCs w:val="22"/>
              </w:rPr>
              <w:t>姓名</w:t>
            </w:r>
          </w:p>
        </w:tc>
        <w:tc>
          <w:tcPr>
            <w:tcW w:w="1935" w:type="dxa"/>
            <w:gridSpan w:val="3"/>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lang w:val="en-US"/>
              </w:rPr>
            </w:pPr>
            <w:r>
              <w:rPr>
                <w:sz w:val="20"/>
                <w:szCs w:val="20"/>
              </w:rPr>
              <w:t>委员证号</w:t>
            </w:r>
          </w:p>
        </w:tc>
        <w:tc>
          <w:tcPr>
            <w:tcW w:w="133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lang w:val="en-US"/>
              </w:rPr>
            </w:pPr>
            <w:r>
              <w:rPr>
                <w:sz w:val="20"/>
                <w:szCs w:val="20"/>
              </w:rPr>
              <w:t>界别</w:t>
            </w:r>
          </w:p>
        </w:tc>
        <w:tc>
          <w:tcPr>
            <w:tcW w:w="2270"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lang w:val="en-US"/>
              </w:rPr>
            </w:pPr>
            <w:r>
              <w:rPr>
                <w:sz w:val="22"/>
                <w:szCs w:val="22"/>
              </w:rPr>
              <w:t>联系电话</w:t>
            </w:r>
          </w:p>
        </w:tc>
        <w:tc>
          <w:tcPr>
            <w:tcW w:w="4041" w:type="dxa"/>
            <w:gridSpan w:val="4"/>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lang w:val="en-US"/>
              </w:rPr>
            </w:pPr>
            <w:r>
              <w:rPr>
                <w:sz w:val="22"/>
                <w:szCs w:val="22"/>
              </w:rPr>
              <w:t>通讯地址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sz w:val="22"/>
                <w:szCs w:val="22"/>
                <w:lang w:val="en-US"/>
              </w:rPr>
            </w:pPr>
            <w:r>
              <w:rPr>
                <w:sz w:val="22"/>
                <w:szCs w:val="22"/>
                <w:lang w:val="en-US"/>
              </w:rPr>
              <w:t>姚金成</w:t>
            </w:r>
          </w:p>
        </w:tc>
        <w:tc>
          <w:tcPr>
            <w:tcW w:w="1935" w:type="dxa"/>
            <w:gridSpan w:val="3"/>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sz w:val="20"/>
                <w:szCs w:val="20"/>
                <w:lang w:val="en-US"/>
              </w:rPr>
            </w:pPr>
          </w:p>
        </w:tc>
        <w:tc>
          <w:tcPr>
            <w:tcW w:w="133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sz w:val="20"/>
                <w:szCs w:val="20"/>
                <w:lang w:val="en-US"/>
              </w:rPr>
            </w:pPr>
            <w:r>
              <w:rPr>
                <w:sz w:val="20"/>
                <w:szCs w:val="20"/>
                <w:lang w:val="en-US"/>
              </w:rPr>
              <w:t>医药卫生界</w:t>
            </w:r>
          </w:p>
        </w:tc>
        <w:tc>
          <w:tcPr>
            <w:tcW w:w="2270"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sz w:val="22"/>
                <w:szCs w:val="22"/>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sz w:val="22"/>
                <w:szCs w:val="22"/>
                <w:lang w:val="en-US"/>
              </w:rPr>
            </w:pPr>
            <w:r>
              <w:rPr>
                <w:sz w:val="22"/>
                <w:szCs w:val="22"/>
                <w:lang w:val="en-US"/>
              </w:rPr>
              <w:t>蔡滔</w:t>
            </w:r>
          </w:p>
        </w:tc>
        <w:tc>
          <w:tcPr>
            <w:tcW w:w="1935" w:type="dxa"/>
            <w:gridSpan w:val="3"/>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sz w:val="20"/>
                <w:szCs w:val="20"/>
                <w:lang w:val="en-US"/>
              </w:rPr>
            </w:pPr>
          </w:p>
        </w:tc>
        <w:tc>
          <w:tcPr>
            <w:tcW w:w="133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sz w:val="20"/>
                <w:szCs w:val="20"/>
                <w:lang w:val="en-US"/>
              </w:rPr>
            </w:pPr>
            <w:r>
              <w:rPr>
                <w:sz w:val="20"/>
                <w:szCs w:val="20"/>
                <w:lang w:val="en-US"/>
              </w:rPr>
              <w:t>共青团</w:t>
            </w:r>
          </w:p>
        </w:tc>
        <w:tc>
          <w:tcPr>
            <w:tcW w:w="2270"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sz w:val="22"/>
                <w:szCs w:val="22"/>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jc w:val="center"/>
              <w:rPr>
                <w:sz w:val="22"/>
                <w:szCs w:val="22"/>
                <w:lang w:val="en-US"/>
              </w:rPr>
            </w:pPr>
          </w:p>
        </w:tc>
      </w:tr>
    </w:tbl>
    <w:p>
      <w:pPr>
        <w:rPr>
          <w:lang w:val="en-US"/>
        </w:rPr>
      </w:pPr>
    </w:p>
    <w:p>
      <w:pPr>
        <w:rPr>
          <w:lang w:val="en-US"/>
        </w:rPr>
      </w:pPr>
    </w:p>
    <w:sectPr>
      <w:pgSz w:w="11906" w:h="16838"/>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仿宋_GBK">
    <w:panose1 w:val="02000000000000000000"/>
    <w:charset w:val="86"/>
    <w:family w:val="auto"/>
    <w:pitch w:val="default"/>
    <w:sig w:usb0="A00002BF" w:usb1="38CF7CFA" w:usb2="00082016" w:usb3="00000000" w:csb0="00040001" w:csb1="00000000"/>
    <w:embedRegular r:id="rId1" w:fontKey="{886648FF-4E36-4FC5-BC71-ACB30030E1A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NDM5ZDk0NDQzNmRlYzU3YzNlM2RkZWMwOWYwN2EifQ=="/>
    <w:docVar w:name="KSO_WPS_MARK_KEY" w:val="9aeceab0-6675-4eea-a77e-ea7e64a0b1a5"/>
  </w:docVars>
  <w:rsids>
    <w:rsidRoot w:val="00000000"/>
    <w:rsid w:val="24E938C6"/>
    <w:rsid w:val="48795B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99"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nhideWhenUsed="0" w:uiPriority="99"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unhideWhenUsed="0" w:uiPriority="99" w:semiHidden="0" w:name="Normal Table"/>
    <w:lsdException w:uiPriority="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iPriority="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9"/>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4">
    <w:name w:val="Default Paragraph Font"/>
    <w:uiPriority w:val="99"/>
  </w:style>
  <w:style w:type="table" w:default="1" w:styleId="12">
    <w:name w:val="Normal Table"/>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0"/>
    <w:pPr>
      <w:keepNext w:val="0"/>
      <w:keepLines w:val="0"/>
      <w:widowControl/>
      <w:suppressLineNumbers w:val="0"/>
      <w:tabs>
        <w:tab w:val="center" w:pos="4153"/>
        <w:tab w:val="right" w:pos="8306"/>
      </w:tabs>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9">
    <w:name w:val="header"/>
    <w:basedOn w:val="1"/>
    <w:link w:val="19"/>
    <w:semiHidden/>
    <w:unhideWhenUsed/>
    <w:uiPriority w:val="0"/>
    <w:pPr>
      <w:keepNext w:val="0"/>
      <w:keepLines w:val="0"/>
      <w:widowControl/>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eastAsia" w:ascii="宋体" w:hAnsi="宋体" w:eastAsia="宋体" w:cs="宋体"/>
      <w:kern w:val="0"/>
      <w:sz w:val="18"/>
      <w:szCs w:val="18"/>
      <w:lang w:val="en-US" w:eastAsia="zh-CN" w:bidi="ar"/>
    </w:rPr>
  </w:style>
  <w:style w:type="paragraph" w:styleId="10">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ascii="Courier New" w:hAnsi="Courier New" w:eastAsia="宋体" w:cs="Courier New"/>
      <w:kern w:val="0"/>
      <w:sz w:val="20"/>
      <w:szCs w:val="20"/>
      <w:lang w:val="en-US" w:eastAsia="zh-CN" w:bidi="ar"/>
    </w:rPr>
  </w:style>
  <w:style w:type="paragraph" w:styleId="11">
    <w:name w:val="Normal (Web)"/>
    <w:basedOn w:val="1"/>
    <w:semiHidden/>
    <w:unhideWhenUsed/>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13">
    <w:name w:val="Table Grid"/>
    <w:basedOn w:val="12"/>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5">
    <w:name w:val="FollowedHyperlink"/>
    <w:basedOn w:val="14"/>
    <w:semiHidden/>
    <w:unhideWhenUsed/>
    <w:qFormat/>
    <w:uiPriority w:val="0"/>
    <w:rPr>
      <w:color w:val="800080"/>
      <w:u w:val="single"/>
    </w:rPr>
  </w:style>
  <w:style w:type="character" w:styleId="16">
    <w:name w:val="Hyperlink"/>
    <w:basedOn w:val="14"/>
    <w:semiHidden/>
    <w:unhideWhenUsed/>
    <w:uiPriority w:val="0"/>
    <w:rPr>
      <w:color w:val="0000FF"/>
      <w:u w:val="single"/>
    </w:rPr>
  </w:style>
  <w:style w:type="character" w:customStyle="1" w:styleId="17">
    <w:name w:val="页脚 Char"/>
    <w:basedOn w:val="14"/>
    <w:link w:val="8"/>
    <w:qFormat/>
    <w:locked/>
    <w:uiPriority w:val="0"/>
    <w:rPr>
      <w:rFonts w:hint="eastAsia" w:ascii="宋体" w:hAnsi="宋体" w:eastAsia="宋体" w:cs="宋体"/>
      <w:sz w:val="18"/>
      <w:szCs w:val="18"/>
    </w:rPr>
  </w:style>
  <w:style w:type="paragraph" w:customStyle="1" w:styleId="18">
    <w:name w:val="tdborder"/>
    <w:basedOn w:val="1"/>
    <w:uiPriority w:val="0"/>
    <w:pPr>
      <w:keepNext w:val="0"/>
      <w:keepLines w:val="0"/>
      <w:widowControl/>
      <w:suppressLineNumbers w:val="0"/>
      <w:pBdr>
        <w:top w:val="single" w:color="000000" w:sz="6" w:space="0"/>
        <w:left w:val="single" w:color="000000" w:sz="6" w:space="0"/>
        <w:bottom w:val="single" w:color="000000" w:sz="6" w:space="0"/>
        <w:right w:val="single" w:color="000000" w:sz="6" w:space="0"/>
      </w:pBd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9">
    <w:name w:val="页眉 Char"/>
    <w:basedOn w:val="14"/>
    <w:link w:val="9"/>
    <w:locked/>
    <w:uiPriority w:val="0"/>
    <w:rPr>
      <w:rFonts w:hint="eastAsia" w:ascii="宋体" w:hAnsi="宋体" w:eastAsia="宋体" w:cs="宋体"/>
      <w:sz w:val="18"/>
      <w:szCs w:val="18"/>
    </w:rPr>
  </w:style>
  <w:style w:type="paragraph" w:customStyle="1" w:styleId="20">
    <w:name w:val="exceltable1"/>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1">
    <w:name w:val="formtitle"/>
    <w:basedOn w:val="1"/>
    <w:qFormat/>
    <w:uiPriority w:val="0"/>
    <w:pPr>
      <w:keepNext w:val="0"/>
      <w:keepLines w:val="0"/>
      <w:widowControl/>
      <w:suppressLineNumbers w:val="0"/>
      <w:spacing w:before="0" w:beforeAutospacing="1" w:after="0" w:afterAutospacing="1"/>
      <w:ind w:left="0" w:right="0"/>
      <w:jc w:val="center"/>
    </w:pPr>
    <w:rPr>
      <w:rFonts w:hint="eastAsia" w:ascii="宋体" w:hAnsi="宋体" w:eastAsia="宋体" w:cs="宋体"/>
      <w:kern w:val="0"/>
      <w:sz w:val="36"/>
      <w:szCs w:val="36"/>
      <w:lang w:val="en-US" w:eastAsia="zh-CN" w:bidi="ar"/>
    </w:rPr>
  </w:style>
  <w:style w:type="paragraph" w:customStyle="1" w:styleId="22">
    <w:name w:val="tdleft"/>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3">
    <w:name w:val="tdright"/>
    <w:basedOn w:val="1"/>
    <w:uiPriority w:val="0"/>
    <w:pPr>
      <w:keepNext w:val="0"/>
      <w:keepLines w:val="0"/>
      <w:widowControl/>
      <w:suppressLineNumbers w:val="0"/>
      <w:spacing w:before="0" w:beforeAutospacing="1" w:after="0" w:afterAutospacing="1"/>
      <w:ind w:left="0" w:right="0"/>
      <w:jc w:val="right"/>
    </w:pPr>
    <w:rPr>
      <w:rFonts w:hint="eastAsia" w:ascii="宋体" w:hAnsi="宋体" w:eastAsia="宋体" w:cs="宋体"/>
      <w:kern w:val="0"/>
      <w:sz w:val="24"/>
      <w:szCs w:val="24"/>
      <w:lang w:val="en-US" w:eastAsia="zh-CN" w:bidi="ar"/>
    </w:rPr>
  </w:style>
  <w:style w:type="paragraph" w:customStyle="1" w:styleId="24">
    <w:name w:val="tdcenter"/>
    <w:basedOn w:val="1"/>
    <w:uiPriority w:val="0"/>
    <w:pPr>
      <w:keepNext w:val="0"/>
      <w:keepLines w:val="0"/>
      <w:widowControl/>
      <w:suppressLineNumbers w:val="0"/>
      <w:spacing w:before="0" w:beforeAutospacing="1" w:after="0" w:afterAutospacing="1"/>
      <w:ind w:left="0" w:right="0"/>
      <w:jc w:val="center"/>
    </w:pPr>
    <w:rPr>
      <w:rFonts w:hint="eastAsia" w:ascii="宋体" w:hAnsi="宋体" w:eastAsia="宋体" w:cs="宋体"/>
      <w:kern w:val="0"/>
      <w:sz w:val="24"/>
      <w:szCs w:val="24"/>
      <w:lang w:val="en-US" w:eastAsia="zh-CN" w:bidi="ar"/>
    </w:rPr>
  </w:style>
  <w:style w:type="paragraph" w:customStyle="1" w:styleId="25">
    <w:name w:val="tdjg"/>
    <w:basedOn w:val="1"/>
    <w:uiPriority w:val="0"/>
    <w:pPr>
      <w:keepNext w:val="0"/>
      <w:keepLines w:val="0"/>
      <w:widowControl/>
      <w:suppressLineNumbers w:val="0"/>
      <w:pBdr>
        <w:top w:val="single" w:color="000000" w:sz="2" w:space="0"/>
        <w:left w:val="single" w:color="000000" w:sz="2" w:space="0"/>
        <w:bottom w:val="single" w:color="000000" w:sz="2" w:space="0"/>
        <w:right w:val="single" w:color="000000" w:sz="2" w:space="0"/>
      </w:pBd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1673</Words>
  <Characters>1712</Characters>
  <Lines>4</Lines>
  <Paragraphs>1</Paragraphs>
  <TotalTime>1</TotalTime>
  <ScaleCrop>false</ScaleCrop>
  <LinksUpToDate>false</LinksUpToDate>
  <CharactersWithSpaces>1728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2411-12-29T16:00:00Z</dcterms:created>
  <dc:creator>谢毅</dc:creator>
  <cp:lastModifiedBy>好想吃糖油粑粑</cp:lastModifiedBy>
  <dcterms:modified xsi:type="dcterms:W3CDTF">2024-01-30T07:10:05Z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BCBFFB3A0E914EAA86B3BCC1034266C5_13</vt:lpwstr>
  </property>
</Properties>
</file>