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10780"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91"/>
        <w:gridCol w:w="554"/>
        <w:gridCol w:w="1020"/>
        <w:gridCol w:w="361"/>
        <w:gridCol w:w="1336"/>
        <w:gridCol w:w="1054"/>
        <w:gridCol w:w="1216"/>
        <w:gridCol w:w="400"/>
        <w:gridCol w:w="1063"/>
        <w:gridCol w:w="802"/>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516"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0"/>
                <w:szCs w:val="20"/>
                <w:bdr w:val="none" w:color="auto" w:sz="0" w:space="0"/>
                <w:lang w:val="en-US"/>
              </w:rPr>
            </w:pPr>
            <w:r>
              <w:rPr>
                <w:sz w:val="22"/>
                <w:szCs w:val="22"/>
                <w:bdr w:val="none" w:color="auto" w:sz="0" w:space="0"/>
                <w:lang w:val="en-US"/>
              </w:rPr>
              <w:t>个人提案</w:t>
            </w:r>
          </w:p>
        </w:tc>
        <w:tc>
          <w:tcPr>
            <w:tcW w:w="2679"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社会建设 </w:t>
            </w:r>
            <w:r>
              <w:rPr>
                <w:sz w:val="22"/>
                <w:szCs w:val="22"/>
                <w:bdr w:val="none" w:color="auto" w:sz="0" w:space="0"/>
              </w:rPr>
              <w:t>类</w:t>
            </w:r>
            <w:r>
              <w:rPr>
                <w:sz w:val="22"/>
                <w:szCs w:val="22"/>
                <w:bdr w:val="none" w:color="auto" w:sz="0" w:space="0"/>
                <w:lang w:val="en-US"/>
              </w:rPr>
              <w:t xml:space="preserve"> </w:t>
            </w: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075  </w:t>
            </w:r>
            <w:r>
              <w:rPr>
                <w:sz w:val="22"/>
                <w:szCs w:val="22"/>
                <w:bdr w:val="none" w:color="auto" w:sz="0" w:space="0"/>
              </w:rPr>
              <w:t>号</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b/>
                <w:bCs/>
                <w:sz w:val="22"/>
                <w:szCs w:val="22"/>
                <w:bdr w:val="none" w:color="auto" w:sz="0" w:space="0"/>
              </w:rPr>
              <w:t>湖南省政协</w:t>
            </w:r>
            <w:r>
              <w:rPr>
                <w:b/>
                <w:bCs/>
                <w:sz w:val="22"/>
                <w:szCs w:val="22"/>
                <w:bdr w:val="none" w:color="auto" w:sz="0" w:space="0"/>
                <w:lang w:val="en-US"/>
              </w:rPr>
              <w:t>十三</w:t>
            </w:r>
            <w:r>
              <w:rPr>
                <w:b/>
                <w:bCs/>
                <w:sz w:val="22"/>
                <w:szCs w:val="22"/>
                <w:bdr w:val="none" w:color="auto" w:sz="0" w:space="0"/>
              </w:rPr>
              <w:t>届</w:t>
            </w:r>
            <w:r>
              <w:rPr>
                <w:b/>
                <w:bCs/>
                <w:sz w:val="22"/>
                <w:szCs w:val="22"/>
                <w:bdr w:val="none" w:color="auto" w:sz="0" w:space="0"/>
                <w:lang w:val="en-US"/>
              </w:rPr>
              <w:t>一</w:t>
            </w:r>
            <w:r>
              <w:rPr>
                <w:b/>
                <w:bCs/>
                <w:sz w:val="22"/>
                <w:szCs w:val="22"/>
                <w:bdr w:val="none" w:color="auto" w:sz="0" w:space="0"/>
              </w:rPr>
              <w:t>次会议第</w:t>
            </w:r>
            <w:r>
              <w:rPr>
                <w:b/>
                <w:bCs/>
                <w:sz w:val="22"/>
                <w:szCs w:val="22"/>
                <w:bdr w:val="none" w:color="auto" w:sz="0" w:space="0"/>
                <w:lang w:val="en-US"/>
              </w:rPr>
              <w:t>0288</w:t>
            </w:r>
            <w:r>
              <w:rPr>
                <w:b/>
                <w:bCs/>
                <w:sz w:val="22"/>
                <w:szCs w:val="22"/>
                <w:bdr w:val="none" w:color="auto" w:sz="0" w:space="0"/>
              </w:rPr>
              <w:t>号提案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案由</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rFonts w:hint="default" w:ascii="Consolas" w:hAnsi="Consolas" w:eastAsia="Consolas" w:cs="Consolas"/>
                <w:color w:val="222222"/>
                <w:sz w:val="18"/>
                <w:szCs w:val="18"/>
                <w:bdr w:val="none" w:color="auto" w:sz="0" w:space="0"/>
                <w:shd w:val="clear" w:fill="FFFFFF"/>
                <w:lang w:val="en-US"/>
              </w:rPr>
              <w:t>关于高质量解决返贫致贫风险监测户大病治疗难题的建议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提案人</w:t>
            </w:r>
          </w:p>
        </w:tc>
        <w:tc>
          <w:tcPr>
            <w:tcW w:w="7252" w:type="dxa"/>
            <w:gridSpan w:val="8"/>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夏丹波 等</w:t>
            </w:r>
          </w:p>
        </w:tc>
        <w:tc>
          <w:tcPr>
            <w:tcW w:w="1776" w:type="dxa"/>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共</w:t>
            </w:r>
            <w:r>
              <w:rPr>
                <w:sz w:val="22"/>
                <w:szCs w:val="22"/>
                <w:bdr w:val="none" w:color="auto" w:sz="0" w:space="0"/>
                <w:lang w:val="en-US"/>
              </w:rPr>
              <w:t xml:space="preserve">1 </w:t>
            </w:r>
            <w:r>
              <w:rPr>
                <w:sz w:val="22"/>
                <w:szCs w:val="22"/>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界别</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民进</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委员证号</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邮政编码</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E-mail</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所属专委会</w:t>
            </w:r>
          </w:p>
        </w:tc>
        <w:tc>
          <w:tcPr>
            <w:tcW w:w="3771" w:type="dxa"/>
            <w:gridSpan w:val="4"/>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农业和农村委员会</w:t>
            </w:r>
          </w:p>
        </w:tc>
        <w:tc>
          <w:tcPr>
            <w:tcW w:w="1616"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所驻地市</w:t>
            </w:r>
          </w:p>
        </w:tc>
        <w:tc>
          <w:tcPr>
            <w:tcW w:w="3641" w:type="dxa"/>
            <w:gridSpan w:val="3"/>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湖南省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3" w:hRule="atLeast"/>
        </w:trPr>
        <w:tc>
          <w:tcPr>
            <w:tcW w:w="1745" w:type="dxa"/>
            <w:gridSpan w:val="2"/>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单位职务</w:t>
            </w:r>
          </w:p>
        </w:tc>
        <w:tc>
          <w:tcPr>
            <w:tcW w:w="9028" w:type="dxa"/>
            <w:gridSpan w:val="9"/>
            <w:tcBorders>
              <w:top w:val="single" w:color="000000" w:sz="6" w:space="0"/>
              <w:left w:val="single" w:color="000000" w:sz="6" w:space="0"/>
              <w:bottom w:val="nil"/>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大祥区政府副区长，民进市委会副主委（兼）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通讯地址</w:t>
            </w:r>
            <w:r>
              <w:rPr>
                <w:color w:val="FF0000"/>
                <w:sz w:val="22"/>
                <w:szCs w:val="22"/>
                <w:bdr w:val="none" w:color="auto" w:sz="0" w:space="0"/>
                <w:lang w:val="en-US"/>
              </w:rPr>
              <w:t xml:space="preserve"> </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联系电话</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是否公开发表</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是否同意其他委员参阅</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是否经过调研</w:t>
            </w:r>
          </w:p>
        </w:tc>
        <w:tc>
          <w:tcPr>
            <w:tcW w:w="37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是</w:t>
            </w:r>
          </w:p>
        </w:tc>
        <w:tc>
          <w:tcPr>
            <w:tcW w:w="1616"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是否往年已提</w:t>
            </w:r>
          </w:p>
        </w:tc>
        <w:tc>
          <w:tcPr>
            <w:tcW w:w="3641"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主题词</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希望办理的承办单位</w:t>
            </w:r>
            <w:r>
              <w:rPr>
                <w:sz w:val="22"/>
                <w:szCs w:val="22"/>
                <w:bdr w:val="none" w:color="auto" w:sz="0" w:space="0"/>
                <w:lang w:val="en-US"/>
              </w:rPr>
              <w:t>(</w:t>
            </w:r>
            <w:r>
              <w:rPr>
                <w:sz w:val="22"/>
                <w:szCs w:val="22"/>
                <w:bdr w:val="none" w:color="auto" w:sz="0" w:space="0"/>
              </w:rPr>
              <w:t>供参考</w:t>
            </w:r>
            <w:r>
              <w:rPr>
                <w:sz w:val="22"/>
                <w:szCs w:val="22"/>
                <w:bdr w:val="none" w:color="auto" w:sz="0" w:space="0"/>
                <w:lang w:val="en-US"/>
              </w:rPr>
              <w:t>)</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color w:val="FF0000"/>
                <w:sz w:val="22"/>
                <w:szCs w:val="22"/>
                <w:bdr w:val="none" w:color="auto" w:sz="0" w:space="0"/>
                <w:lang w:val="en-US"/>
              </w:rPr>
            </w:pPr>
            <w:r>
              <w:rPr>
                <w:color w:val="FF0000"/>
                <w:sz w:val="22"/>
                <w:szCs w:val="22"/>
                <w:bdr w:val="none" w:color="auto" w:sz="0" w:space="0"/>
              </w:rPr>
              <w:t>提交日期</w:t>
            </w:r>
          </w:p>
        </w:tc>
        <w:tc>
          <w:tcPr>
            <w:tcW w:w="9028" w:type="dxa"/>
            <w:gridSpan w:val="9"/>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2023-01-11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rPr>
              <w:t>审查意见</w:t>
            </w:r>
            <w:r>
              <w:rPr>
                <w:sz w:val="22"/>
                <w:szCs w:val="22"/>
                <w:bdr w:val="none" w:color="auto" w:sz="0" w:space="0"/>
                <w:lang w:val="en-US"/>
              </w:rPr>
              <w:t xml:space="preserve"> </w:t>
            </w:r>
          </w:p>
        </w:tc>
        <w:tc>
          <w:tcPr>
            <w:tcW w:w="6450" w:type="dxa"/>
            <w:gridSpan w:val="7"/>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c>
          <w:tcPr>
            <w:tcW w:w="2578"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45" w:type="dxa"/>
            <w:gridSpan w:val="2"/>
            <w:vMerge w:val="restart"/>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办理单位</w:t>
            </w:r>
            <w:r>
              <w:rPr>
                <w:sz w:val="22"/>
                <w:szCs w:val="22"/>
                <w:bdr w:val="none" w:color="auto" w:sz="0" w:space="0"/>
                <w:lang w:val="en-US"/>
              </w:rPr>
              <w:t xml:space="preserve"> </w:t>
            </w: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主办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745" w:type="dxa"/>
            <w:gridSpan w:val="2"/>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rFonts w:hint="default" w:ascii="Times New Roman" w:hAnsi="Times New Roman" w:cs="Times New Roman"/>
                <w:sz w:val="20"/>
                <w:szCs w:val="20"/>
              </w:rPr>
            </w:pPr>
          </w:p>
        </w:tc>
        <w:tc>
          <w:tcPr>
            <w:tcW w:w="1020"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sz w:val="22"/>
                <w:szCs w:val="22"/>
                <w:bdr w:val="none" w:color="auto" w:sz="0" w:space="0"/>
                <w:lang w:val="en-US"/>
              </w:rPr>
            </w:pPr>
            <w:r>
              <w:rPr>
                <w:sz w:val="22"/>
                <w:szCs w:val="22"/>
                <w:bdr w:val="none" w:color="auto" w:sz="0" w:space="0"/>
                <w:lang w:val="en-US"/>
              </w:rPr>
              <w:t>会办</w:t>
            </w:r>
          </w:p>
        </w:tc>
        <w:tc>
          <w:tcPr>
            <w:tcW w:w="8008" w:type="dxa"/>
            <w:gridSpan w:val="8"/>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lang w:val="en-US"/>
              </w:rPr>
              <w:t>省乡村振兴局,省残联,省卫生健康委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sz w:val="22"/>
                <w:szCs w:val="22"/>
                <w:bdr w:val="none" w:color="auto" w:sz="0" w:space="0"/>
                <w:lang w:val="en-US"/>
              </w:rPr>
            </w:pPr>
            <w:r>
              <w:rPr>
                <w:sz w:val="22"/>
                <w:szCs w:val="22"/>
                <w:bdr w:val="none" w:color="auto" w:sz="0" w:space="0"/>
              </w:rPr>
              <w:t>提案内容（包括案由、案据和方案）</w:t>
            </w:r>
            <w:r>
              <w:rPr>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pStyle w:val="11"/>
            </w:pPr>
          </w:p>
          <w:p>
            <w:pPr>
              <w:pStyle w:val="11"/>
              <w:autoSpaceDE w:val="0"/>
              <w:autoSpaceDN/>
              <w:spacing w:line="555" w:lineRule="atLeast"/>
              <w:ind w:left="0" w:firstLine="645"/>
            </w:pPr>
            <w:r>
              <w:rPr>
                <w:rFonts w:ascii="仿宋_GB2312" w:eastAsia="仿宋_GB2312" w:cs="仿宋_GB2312"/>
                <w:color w:val="000000"/>
                <w:sz w:val="31"/>
                <w:szCs w:val="31"/>
                <w:bdr w:val="none" w:color="auto" w:sz="0" w:space="0"/>
                <w:lang w:val="en-US"/>
              </w:rPr>
              <w:t>截至目前，在我省返贫、致贫风险监测户中，老年人、患病者、残疾人比例高达</w:t>
            </w:r>
            <w:r>
              <w:rPr>
                <w:rFonts w:hint="eastAsia" w:ascii="仿宋_GB2312" w:eastAsia="仿宋_GB2312" w:cs="仿宋_GB2312"/>
                <w:color w:val="000000"/>
                <w:sz w:val="31"/>
                <w:szCs w:val="31"/>
                <w:bdr w:val="none" w:color="auto" w:sz="0" w:space="0"/>
                <w:lang w:val="en-US"/>
              </w:rPr>
              <w:t xml:space="preserve">62.51%，其中大病的占11.07%，长期慢性病占24.46%，他们稳定脱贫难度大、返贫风险高，特别是返贫、致贫风险户中的患病者，更是乡村振兴中的困中之困，难中之难。存在的主要困难有：   </w:t>
            </w:r>
          </w:p>
          <w:p>
            <w:pPr>
              <w:pStyle w:val="11"/>
              <w:autoSpaceDE w:val="0"/>
              <w:autoSpaceDN/>
              <w:spacing w:line="555" w:lineRule="atLeast"/>
              <w:ind w:left="0" w:firstLine="645"/>
            </w:pPr>
            <w:r>
              <w:rPr>
                <w:rFonts w:ascii="黑体" w:hAnsi="宋体" w:eastAsia="黑体" w:cs="黑体"/>
                <w:color w:val="000000"/>
                <w:sz w:val="31"/>
                <w:szCs w:val="31"/>
                <w:bdr w:val="none" w:color="auto" w:sz="0" w:space="0"/>
                <w:lang w:val="en-US"/>
              </w:rPr>
              <w:t>一是监测户家庭医疗开支大。</w:t>
            </w:r>
            <w:r>
              <w:rPr>
                <w:rFonts w:hint="eastAsia" w:ascii="仿宋_GB2312" w:eastAsia="仿宋_GB2312" w:cs="仿宋_GB2312"/>
                <w:color w:val="000000"/>
                <w:sz w:val="31"/>
                <w:szCs w:val="31"/>
                <w:bdr w:val="none" w:color="auto" w:sz="0" w:space="0"/>
                <w:lang w:val="en-US"/>
              </w:rPr>
              <w:t>一些地方认为家庭年收入达到6900元就算脱贫了，没有考虑到医疗等大型支出。患病者因为身体机能因素影响，门诊吃药、康复医疗比较多，很多项目不在报销范围内。据调查统计，47.3%的监测户家庭医疗自费支出占到家庭总收入的45%以上，纯收入难以达到6900元。        </w:t>
            </w:r>
          </w:p>
          <w:p>
            <w:pPr>
              <w:pStyle w:val="11"/>
              <w:autoSpaceDE w:val="0"/>
              <w:autoSpaceDN/>
              <w:spacing w:line="555" w:lineRule="atLeast"/>
              <w:ind w:left="0" w:firstLine="645"/>
            </w:pPr>
            <w:r>
              <w:rPr>
                <w:rFonts w:hint="eastAsia" w:ascii="黑体" w:hAnsi="宋体" w:eastAsia="黑体" w:cs="黑体"/>
                <w:color w:val="000000"/>
                <w:sz w:val="31"/>
                <w:szCs w:val="31"/>
                <w:bdr w:val="none" w:color="auto" w:sz="0" w:space="0"/>
                <w:lang w:val="en-US"/>
              </w:rPr>
              <w:t>二是医疗保障覆盖有盲点。</w:t>
            </w:r>
            <w:r>
              <w:rPr>
                <w:rFonts w:hint="eastAsia" w:ascii="仿宋_GB2312" w:eastAsia="仿宋_GB2312" w:cs="仿宋_GB2312"/>
                <w:color w:val="000000"/>
                <w:sz w:val="31"/>
                <w:szCs w:val="31"/>
                <w:bdr w:val="none" w:color="auto" w:sz="0" w:space="0"/>
                <w:lang w:val="en-US"/>
              </w:rPr>
              <w:t>“两保”代缴通过这两年纳入乡村振兴考核指标，政策得到了较好落实，但仍有一些地方没有落实到位。其中涉及医保政策未落实的占2.15%，报销比例不达标的占1.97%。        </w:t>
            </w:r>
          </w:p>
          <w:p>
            <w:pPr>
              <w:pStyle w:val="11"/>
              <w:autoSpaceDE w:val="0"/>
              <w:autoSpaceDN/>
              <w:spacing w:line="555" w:lineRule="atLeast"/>
              <w:ind w:left="0" w:firstLine="645"/>
            </w:pPr>
            <w:r>
              <w:rPr>
                <w:rFonts w:hint="eastAsia" w:ascii="黑体" w:hAnsi="宋体" w:eastAsia="黑体" w:cs="黑体"/>
                <w:color w:val="000000"/>
                <w:sz w:val="31"/>
                <w:szCs w:val="31"/>
                <w:bdr w:val="none" w:color="auto" w:sz="0" w:space="0"/>
                <w:lang w:val="en-US"/>
              </w:rPr>
              <w:t>三是兜底报销有难度。</w:t>
            </w:r>
            <w:r>
              <w:rPr>
                <w:rFonts w:hint="eastAsia" w:ascii="仿宋_GB2312" w:eastAsia="仿宋_GB2312" w:cs="仿宋_GB2312"/>
                <w:color w:val="000000"/>
                <w:sz w:val="31"/>
                <w:szCs w:val="31"/>
                <w:bdr w:val="none" w:color="auto" w:sz="0" w:space="0"/>
                <w:lang w:val="en-US"/>
              </w:rPr>
              <w:t>按照相关政策规定，对兜底监测户给予医疗报销比例要达到85%，并降低起付线标准，实行先住院后付费等政策保障。个别兜底监测户在大病、重病时，无人照料护理，个人自负部分的医疗费用无法解决，导致有病不敢看。特别是兜底监测户因大病前往市级、省级大医院治疗，报销比例只能达到35%-55%左右。        </w:t>
            </w:r>
          </w:p>
          <w:p>
            <w:pPr>
              <w:pStyle w:val="11"/>
              <w:autoSpaceDE w:val="0"/>
              <w:autoSpaceDN/>
              <w:spacing w:line="555" w:lineRule="atLeast"/>
              <w:ind w:left="0" w:firstLine="645"/>
            </w:pPr>
            <w:r>
              <w:rPr>
                <w:rFonts w:hint="eastAsia" w:ascii="黑体" w:hAnsi="宋体" w:eastAsia="黑体" w:cs="黑体"/>
                <w:color w:val="000000"/>
                <w:sz w:val="31"/>
                <w:szCs w:val="31"/>
                <w:bdr w:val="none" w:color="auto" w:sz="0" w:space="0"/>
                <w:lang w:val="en-US"/>
              </w:rPr>
              <w:t>四是精神残疾监测户医疗问题突出。</w:t>
            </w:r>
            <w:r>
              <w:rPr>
                <w:rFonts w:hint="eastAsia" w:ascii="仿宋_GB2312" w:eastAsia="仿宋_GB2312" w:cs="仿宋_GB2312"/>
                <w:color w:val="000000"/>
                <w:sz w:val="31"/>
                <w:szCs w:val="31"/>
                <w:bdr w:val="none" w:color="auto" w:sz="0" w:space="0"/>
                <w:lang w:val="en-US"/>
              </w:rPr>
              <w:t xml:space="preserve">在各地兜底监测户残疾人中，精神残疾占21.67%，其中致贫、返贫风险监测户的精神残疾人比例更高。精神残疾病人面临医疗和生活双重压力，特别是一户多残家庭，存在无劳动力、无独立生活能力、无人照护“三无”问题难以解决。    </w:t>
            </w:r>
          </w:p>
          <w:p>
            <w:pPr>
              <w:pStyle w:val="11"/>
              <w:autoSpaceDE w:val="0"/>
              <w:autoSpaceDN/>
              <w:spacing w:line="555" w:lineRule="atLeast"/>
              <w:ind w:left="0" w:firstLine="645"/>
            </w:pPr>
            <w:r>
              <w:rPr>
                <w:rFonts w:hint="eastAsia" w:ascii="仿宋_GB2312" w:eastAsia="仿宋_GB2312" w:cs="仿宋_GB2312"/>
                <w:color w:val="000000"/>
                <w:sz w:val="31"/>
                <w:szCs w:val="31"/>
                <w:bdr w:val="none" w:color="auto" w:sz="0" w:space="0"/>
                <w:lang w:val="en-US"/>
              </w:rPr>
              <w:t>兜底监测户医疗费用支出居高不下，成为影响稳定脱贫、高质量脱贫的重要因素。</w:t>
            </w:r>
          </w:p>
          <w:p>
            <w:pPr>
              <w:pStyle w:val="11"/>
              <w:autoSpaceDE w:val="0"/>
              <w:autoSpaceDN/>
              <w:spacing w:line="555" w:lineRule="atLeast"/>
              <w:ind w:left="0" w:firstLine="645"/>
            </w:pPr>
            <w:r>
              <w:rPr>
                <w:rFonts w:hint="eastAsia" w:ascii="仿宋_GB2312" w:eastAsia="仿宋_GB2312" w:cs="仿宋_GB2312"/>
                <w:color w:val="000000"/>
                <w:sz w:val="31"/>
                <w:szCs w:val="31"/>
                <w:bdr w:val="none" w:color="auto" w:sz="0" w:space="0"/>
                <w:lang w:val="en-US"/>
              </w:rPr>
              <w:t>为此，建议:       </w:t>
            </w:r>
          </w:p>
          <w:p>
            <w:pPr>
              <w:pStyle w:val="11"/>
              <w:autoSpaceDE w:val="0"/>
              <w:autoSpaceDN/>
              <w:spacing w:line="555" w:lineRule="atLeast"/>
              <w:ind w:left="0" w:firstLine="645"/>
            </w:pPr>
            <w:r>
              <w:rPr>
                <w:rFonts w:hint="eastAsia" w:ascii="黑体" w:hAnsi="宋体" w:eastAsia="黑体" w:cs="黑体"/>
                <w:color w:val="000000"/>
                <w:sz w:val="31"/>
                <w:szCs w:val="31"/>
                <w:bdr w:val="none" w:color="auto" w:sz="0" w:space="0"/>
                <w:lang w:val="en-US"/>
              </w:rPr>
              <w:t>一、摸清底数，推动医保政策全面落实。</w:t>
            </w:r>
            <w:r>
              <w:rPr>
                <w:rFonts w:hint="eastAsia" w:ascii="仿宋_GB2312" w:eastAsia="仿宋_GB2312" w:cs="仿宋_GB2312"/>
                <w:color w:val="000000"/>
                <w:sz w:val="31"/>
                <w:szCs w:val="31"/>
                <w:bdr w:val="none" w:color="auto" w:sz="0" w:space="0"/>
                <w:lang w:val="en-US"/>
              </w:rPr>
              <w:t>摸清辖区内受重大疾病影响导致易返贫、致贫的兜底监测户底数；摸清兜底监测户医疗保险代缴落实情况；摸清兜底监测户医疗保障政策是否落实；摸清医疗费用自负部分是否难以承担。        </w:t>
            </w:r>
          </w:p>
          <w:p>
            <w:pPr>
              <w:pStyle w:val="11"/>
              <w:autoSpaceDE w:val="0"/>
              <w:autoSpaceDN/>
              <w:spacing w:line="555" w:lineRule="atLeast"/>
              <w:ind w:left="0" w:firstLine="645"/>
            </w:pPr>
            <w:r>
              <w:rPr>
                <w:rFonts w:hint="eastAsia" w:ascii="黑体" w:hAnsi="宋体" w:eastAsia="黑体" w:cs="黑体"/>
                <w:color w:val="000000"/>
                <w:sz w:val="31"/>
                <w:szCs w:val="31"/>
                <w:bdr w:val="none" w:color="auto" w:sz="0" w:space="0"/>
                <w:lang w:val="en-US"/>
              </w:rPr>
              <w:t>二、加强研判，对患病兜底监测户精准施策。</w:t>
            </w:r>
            <w:r>
              <w:rPr>
                <w:rFonts w:hint="eastAsia" w:ascii="仿宋_GB2312" w:eastAsia="仿宋_GB2312" w:cs="仿宋_GB2312"/>
                <w:color w:val="000000"/>
                <w:sz w:val="31"/>
                <w:szCs w:val="31"/>
                <w:bdr w:val="none" w:color="auto" w:sz="0" w:space="0"/>
                <w:lang w:val="en-US"/>
              </w:rPr>
              <w:t>要从致贫、返贫因素、能力状况、人口特征等多个角度精准查明兜底监测户的困难特征，重点研判医疗费用实际开支对家庭收入的影响，因人施策。</w:t>
            </w:r>
            <w:r>
              <w:rPr>
                <w:rStyle w:val="15"/>
                <w:rFonts w:hint="eastAsia" w:ascii="仿宋_GB2312" w:eastAsia="仿宋_GB2312" w:cs="仿宋_GB2312"/>
                <w:b/>
                <w:bCs/>
                <w:color w:val="000000"/>
                <w:sz w:val="31"/>
                <w:szCs w:val="31"/>
                <w:bdr w:val="none" w:color="auto" w:sz="0" w:space="0"/>
                <w:lang w:val="en-US"/>
              </w:rPr>
              <w:t>一是</w:t>
            </w:r>
            <w:r>
              <w:rPr>
                <w:rFonts w:hint="eastAsia" w:ascii="仿宋_GB2312" w:eastAsia="仿宋_GB2312" w:cs="仿宋_GB2312"/>
                <w:color w:val="000000"/>
                <w:sz w:val="31"/>
                <w:szCs w:val="31"/>
                <w:bdr w:val="none" w:color="auto" w:sz="0" w:space="0"/>
                <w:lang w:val="en-US"/>
              </w:rPr>
              <w:t>制定兜底监测户专项医疗保障政策，明确因病支出型兜底监测户家庭的认定标准、待遇给付、退出机制，实施动态管理，提高救助绩效;</w:t>
            </w:r>
            <w:r>
              <w:rPr>
                <w:rStyle w:val="15"/>
                <w:rFonts w:hint="eastAsia" w:ascii="仿宋_GB2312" w:eastAsia="仿宋_GB2312" w:cs="仿宋_GB2312"/>
                <w:b/>
                <w:bCs/>
                <w:color w:val="000000"/>
                <w:sz w:val="31"/>
                <w:szCs w:val="31"/>
                <w:bdr w:val="none" w:color="auto" w:sz="0" w:space="0"/>
                <w:lang w:val="en-US"/>
              </w:rPr>
              <w:t>二是</w:t>
            </w:r>
            <w:r>
              <w:rPr>
                <w:rFonts w:hint="eastAsia" w:ascii="仿宋_GB2312" w:eastAsia="仿宋_GB2312" w:cs="仿宋_GB2312"/>
                <w:color w:val="000000"/>
                <w:sz w:val="31"/>
                <w:szCs w:val="31"/>
                <w:bdr w:val="none" w:color="auto" w:sz="0" w:space="0"/>
                <w:lang w:val="en-US"/>
              </w:rPr>
              <w:t>提高因病支出型困难家庭医疗报销比例，由现行的85%提高到95%，不足部分和产生的护理等其他费用由民政兜底解决。</w:t>
            </w:r>
            <w:r>
              <w:rPr>
                <w:rStyle w:val="15"/>
                <w:rFonts w:hint="eastAsia" w:ascii="仿宋_GB2312" w:eastAsia="仿宋_GB2312" w:cs="仿宋_GB2312"/>
                <w:b/>
                <w:bCs/>
                <w:color w:val="000000"/>
                <w:sz w:val="31"/>
                <w:szCs w:val="31"/>
                <w:bdr w:val="none" w:color="auto" w:sz="0" w:space="0"/>
                <w:lang w:val="en-US"/>
              </w:rPr>
              <w:t>三是</w:t>
            </w:r>
            <w:r>
              <w:rPr>
                <w:rFonts w:hint="eastAsia" w:ascii="仿宋_GB2312" w:eastAsia="仿宋_GB2312" w:cs="仿宋_GB2312"/>
                <w:color w:val="000000"/>
                <w:sz w:val="31"/>
                <w:szCs w:val="31"/>
                <w:bdr w:val="none" w:color="auto" w:sz="0" w:space="0"/>
                <w:lang w:val="en-US"/>
              </w:rPr>
              <w:t>将二类、三类精神残疾兜底监测户纳入一类兜底对象;四是对精神和重度肢体残疾人由各地安排辅助性就业，并开展集中照护和托养服务;五是为患病兜底保障对象提供生活护理服务、康复训练等在内的综合性保障服务;六是在困难地区村卫生室开通医保支付系统，方便兜底监测户就医，减少医疗支出。        </w:t>
            </w:r>
          </w:p>
          <w:p>
            <w:pPr>
              <w:pStyle w:val="11"/>
              <w:autoSpaceDE w:val="0"/>
              <w:autoSpaceDN/>
              <w:spacing w:line="555" w:lineRule="atLeast"/>
              <w:ind w:left="0" w:firstLine="645"/>
            </w:pPr>
            <w:r>
              <w:rPr>
                <w:rFonts w:hint="eastAsia" w:ascii="仿宋_GB2312" w:eastAsia="仿宋_GB2312" w:cs="仿宋_GB2312"/>
                <w:color w:val="000000"/>
                <w:sz w:val="31"/>
                <w:szCs w:val="31"/>
                <w:bdr w:val="none" w:color="auto" w:sz="0" w:space="0"/>
                <w:lang w:val="en-US"/>
              </w:rPr>
              <w:t>三、</w:t>
            </w:r>
            <w:r>
              <w:rPr>
                <w:rFonts w:hint="eastAsia" w:ascii="黑体" w:hAnsi="宋体" w:eastAsia="黑体" w:cs="黑体"/>
                <w:color w:val="000000"/>
                <w:sz w:val="31"/>
                <w:szCs w:val="31"/>
                <w:bdr w:val="none" w:color="auto" w:sz="0" w:space="0"/>
                <w:lang w:val="en-US"/>
              </w:rPr>
              <w:t>多措并举，探索建立健康帮扶长效机制。</w:t>
            </w:r>
            <w:r>
              <w:rPr>
                <w:rStyle w:val="15"/>
                <w:rFonts w:hint="eastAsia" w:ascii="仿宋_GB2312" w:eastAsia="仿宋_GB2312" w:cs="仿宋_GB2312"/>
                <w:b/>
                <w:bCs/>
                <w:color w:val="000000"/>
                <w:sz w:val="31"/>
                <w:szCs w:val="31"/>
                <w:bdr w:val="none" w:color="auto" w:sz="0" w:space="0"/>
                <w:lang w:val="en-US"/>
              </w:rPr>
              <w:t>一是</w:t>
            </w:r>
            <w:r>
              <w:rPr>
                <w:rFonts w:hint="eastAsia" w:ascii="仿宋_GB2312" w:eastAsia="仿宋_GB2312" w:cs="仿宋_GB2312"/>
                <w:color w:val="000000"/>
                <w:sz w:val="31"/>
                <w:szCs w:val="31"/>
                <w:bdr w:val="none" w:color="auto" w:sz="0" w:space="0"/>
                <w:lang w:val="en-US"/>
              </w:rPr>
              <w:t>推进兜底监测户大病及慢性病医疗保险制，逐步建立完善困难地区村级卫生室、乡镇卫生院在乡村振兴中主体作用的医疗教助体系；</w:t>
            </w:r>
            <w:r>
              <w:rPr>
                <w:rStyle w:val="15"/>
                <w:rFonts w:hint="eastAsia" w:ascii="仿宋_GB2312" w:eastAsia="仿宋_GB2312" w:cs="仿宋_GB2312"/>
                <w:b/>
                <w:bCs/>
                <w:color w:val="000000"/>
                <w:sz w:val="31"/>
                <w:szCs w:val="31"/>
                <w:bdr w:val="none" w:color="auto" w:sz="0" w:space="0"/>
                <w:lang w:val="en-US"/>
              </w:rPr>
              <w:t>二是</w:t>
            </w:r>
            <w:r>
              <w:rPr>
                <w:rFonts w:hint="eastAsia" w:ascii="仿宋_GB2312" w:eastAsia="仿宋_GB2312" w:cs="仿宋_GB2312"/>
                <w:color w:val="000000"/>
                <w:sz w:val="31"/>
                <w:szCs w:val="31"/>
                <w:bdr w:val="none" w:color="auto" w:sz="0" w:space="0"/>
                <w:lang w:val="en-US"/>
              </w:rPr>
              <w:t>推进中心大医院与基层医疗站点远程诊疗和互动构建基层健康基础保障体系；</w:t>
            </w:r>
            <w:r>
              <w:rPr>
                <w:rStyle w:val="15"/>
                <w:rFonts w:hint="eastAsia" w:ascii="仿宋_GB2312" w:eastAsia="仿宋_GB2312" w:cs="仿宋_GB2312"/>
                <w:b/>
                <w:bCs/>
                <w:color w:val="000000"/>
                <w:sz w:val="31"/>
                <w:szCs w:val="31"/>
                <w:bdr w:val="none" w:color="auto" w:sz="0" w:space="0"/>
                <w:lang w:val="en-US"/>
              </w:rPr>
              <w:t>三是</w:t>
            </w:r>
            <w:r>
              <w:rPr>
                <w:rFonts w:hint="eastAsia" w:ascii="仿宋_GB2312" w:eastAsia="仿宋_GB2312" w:cs="仿宋_GB2312"/>
                <w:color w:val="000000"/>
                <w:sz w:val="31"/>
                <w:szCs w:val="31"/>
                <w:bdr w:val="none" w:color="auto" w:sz="0" w:space="0"/>
                <w:lang w:val="en-US"/>
              </w:rPr>
              <w:t>推进市县乡村四级医疗体系建设，鼓励医疗专家定期到县以下地区巡诊，促进医疗成果普惠共享。</w:t>
            </w:r>
          </w:p>
          <w:p>
            <w:pPr>
              <w:pStyle w:val="11"/>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联系人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327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6311" w:type="dxa"/>
            <w:gridSpan w:val="6"/>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780" w:type="dxa"/>
            <w:gridSpan w:val="11"/>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rPr>
                <w:b/>
                <w:bCs w:val="0"/>
                <w:sz w:val="22"/>
                <w:szCs w:val="22"/>
                <w:bdr w:val="none" w:color="auto" w:sz="0" w:space="0"/>
                <w:lang w:val="en-US"/>
              </w:rPr>
            </w:pPr>
            <w:r>
              <w:rPr>
                <w:b/>
                <w:bCs w:val="0"/>
                <w:sz w:val="22"/>
                <w:szCs w:val="22"/>
                <w:bdr w:val="none" w:color="auto" w:sz="0" w:space="0"/>
              </w:rPr>
              <w:t>联名人</w:t>
            </w:r>
            <w:r>
              <w:rPr>
                <w:b/>
                <w:bCs w:val="0"/>
                <w:sz w:val="22"/>
                <w:szCs w:val="22"/>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191"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姓名</w:t>
            </w:r>
          </w:p>
        </w:tc>
        <w:tc>
          <w:tcPr>
            <w:tcW w:w="1935" w:type="dxa"/>
            <w:gridSpan w:val="3"/>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委员证号</w:t>
            </w:r>
          </w:p>
        </w:tc>
        <w:tc>
          <w:tcPr>
            <w:tcW w:w="1336" w:type="dxa"/>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0"/>
                <w:szCs w:val="20"/>
                <w:bdr w:val="none" w:color="auto" w:sz="0" w:space="0"/>
              </w:rPr>
              <w:t>界别</w:t>
            </w:r>
          </w:p>
        </w:tc>
        <w:tc>
          <w:tcPr>
            <w:tcW w:w="2270" w:type="dxa"/>
            <w:gridSpan w:val="2"/>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联系电话</w:t>
            </w:r>
          </w:p>
        </w:tc>
        <w:tc>
          <w:tcPr>
            <w:tcW w:w="4041" w:type="dxa"/>
            <w:gridSpan w:val="4"/>
            <w:tcBorders>
              <w:top w:val="single" w:color="000000" w:sz="6" w:space="0"/>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jc w:val="center"/>
              <w:rPr>
                <w:rFonts w:hint="default" w:ascii="Times New Roman" w:hAnsi="Times New Roman" w:eastAsia="Times New Roman" w:cs="Times New Roman"/>
                <w:sz w:val="20"/>
                <w:szCs w:val="20"/>
                <w:bdr w:val="none" w:color="auto" w:sz="0" w:space="0"/>
                <w:lang w:val="en-US"/>
              </w:rPr>
            </w:pPr>
            <w:r>
              <w:rPr>
                <w:sz w:val="22"/>
                <w:szCs w:val="22"/>
                <w:bdr w:val="none" w:color="auto" w:sz="0" w:space="0"/>
              </w:rPr>
              <w:t>通讯地址</w:t>
            </w:r>
          </w:p>
        </w:tc>
      </w:tr>
    </w:tbl>
    <w:p>
      <w:pPr>
        <w:rPr>
          <w:lang w:val="en-US"/>
        </w:rPr>
      </w:pPr>
    </w:p>
    <w:p>
      <w:pPr>
        <w:rPr>
          <w:lang w:val="en-US"/>
        </w:rPr>
      </w:pPr>
    </w:p>
    <w:sectPr>
      <w:pgSz w:w="11906" w:h="16838"/>
      <w:pgMar w:top="1440" w:right="1800" w:bottom="1440" w:left="1800" w:header="851" w:footer="992" w:gutter="0"/>
      <w:paperSrc/>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Consolas">
    <w:panose1 w:val="020B0609020204030204"/>
    <w:charset w:val="00"/>
    <w:family w:val="auto"/>
    <w:pitch w:val="fixed"/>
    <w:sig w:usb0="E00006FF" w:usb1="0000FCFF" w:usb2="00000001" w:usb3="00000000" w:csb0="6000019F" w:csb1="DFD70000"/>
  </w:font>
  <w:font w:name="Courier New">
    <w:panose1 w:val="02070309020205020404"/>
    <w:charset w:val="00"/>
    <w:family w:val="auto"/>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DQ4ODhlMWQwMTk1ODlhOGIxZGE2Yjg4NDcxODQifQ=="/>
  </w:docVars>
  <w:rsids>
    <w:rsidRoot w:val="00000000"/>
    <w:rsid w:val="214B3E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Normal Table"/>
    <w:lsdException w:uiPriority="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0" w:name="Balloon Text"/>
    <w:lsdException w:unhideWhenUsed="0" w:uiPriority="99" w:semiHidden="0" w:name="Table Grid"/>
    <w:lsdException w:unhideWhenUsed="0" w:uiPriority="99" w:semiHidden="0" w:name="Table Theme"/>
    <w:lsdException w:unhideWhenUsed="0" w:uiPriority="99" w:semiHidden="0" w:name="Light Shading"/>
    <w:lsdException w:unhideWhenUsed="0" w:uiPriority="99" w:semiHidden="0" w:name="Light List"/>
    <w:lsdException w:unhideWhenUsed="0" w:uiPriority="99" w:semiHidden="0" w:name="Light Grid"/>
    <w:lsdException w:unhideWhenUsed="0" w:uiPriority="99" w:semiHidden="0" w:name="Medium Shading 1"/>
    <w:lsdException w:unhideWhenUsed="0" w:uiPriority="99" w:semiHidden="0" w:name="Medium Shading 2"/>
    <w:lsdException w:unhideWhenUsed="0" w:uiPriority="99" w:semiHidden="0" w:name="Medium List 1"/>
    <w:lsdException w:unhideWhenUsed="0" w:uiPriority="99" w:semiHidden="0" w:name="Medium List 2"/>
    <w:lsdException w:unhideWhenUsed="0" w:uiPriority="99" w:semiHidden="0" w:name="Medium Grid 1"/>
    <w:lsdException w:unhideWhenUsed="0" w:uiPriority="99" w:semiHidden="0" w:name="Medium Grid 2"/>
    <w:lsdException w:unhideWhenUsed="0" w:uiPriority="99" w:semiHidden="0" w:name="Medium Grid 3"/>
    <w:lsdException w:unhideWhenUsed="0" w:uiPriority="99" w:semiHidden="0" w:name="Dark List"/>
    <w:lsdException w:unhideWhenUsed="0" w:uiPriority="99" w:semiHidden="0" w:name="Colorful Shading"/>
    <w:lsdException w:unhideWhenUsed="0" w:uiPriority="99" w:semiHidden="0" w:name="Colorful List"/>
    <w:lsdException w:unhideWhenUsed="0" w:uiPriority="99" w:semiHidden="0" w:name="Colorful Grid"/>
    <w:lsdException w:unhideWhenUsed="0" w:uiPriority="99" w:semiHidden="0" w:name="Light Shading Accent 1"/>
    <w:lsdException w:unhideWhenUsed="0" w:uiPriority="99" w:semiHidden="0" w:name="Light List Accent 1"/>
    <w:lsdException w:unhideWhenUsed="0" w:uiPriority="99" w:semiHidden="0" w:name="Light Grid Accent 1"/>
    <w:lsdException w:unhideWhenUsed="0" w:uiPriority="99" w:semiHidden="0" w:name="Medium Shading 1 Accent 1"/>
    <w:lsdException w:unhideWhenUsed="0" w:uiPriority="99" w:semiHidden="0" w:name="Medium Shading 2 Accent 1"/>
    <w:lsdException w:unhideWhenUsed="0" w:uiPriority="99" w:semiHidden="0" w:name="Medium List 1 Accent 1"/>
    <w:lsdException w:unhideWhenUsed="0" w:uiPriority="99" w:semiHidden="0" w:name="Medium List 2 Accent 1"/>
    <w:lsdException w:unhideWhenUsed="0" w:uiPriority="99" w:semiHidden="0" w:name="Medium Grid 1 Accent 1"/>
    <w:lsdException w:unhideWhenUsed="0" w:uiPriority="99" w:semiHidden="0" w:name="Medium Grid 2 Accent 1"/>
    <w:lsdException w:unhideWhenUsed="0" w:uiPriority="99" w:semiHidden="0" w:name="Medium Grid 3 Accent 1"/>
    <w:lsdException w:unhideWhenUsed="0" w:uiPriority="99" w:semiHidden="0" w:name="Dark List Accent 1"/>
    <w:lsdException w:unhideWhenUsed="0" w:uiPriority="99" w:semiHidden="0"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nhideWhenUsed="0" w:uiPriority="99" w:semiHidden="0" w:name="Light List Accent 2"/>
    <w:lsdException w:unhideWhenUsed="0" w:uiPriority="99" w:semiHidden="0" w:name="Light Grid Accent 2"/>
    <w:lsdException w:unhideWhenUsed="0" w:uiPriority="99" w:semiHidden="0" w:name="Medium Shading 1 Accent 2"/>
    <w:lsdException w:unhideWhenUsed="0" w:uiPriority="99" w:semiHidden="0" w:name="Medium Shading 2 Accent 2"/>
    <w:lsdException w:unhideWhenUsed="0" w:uiPriority="99" w:semiHidden="0" w:name="Medium List 1 Accent 2"/>
    <w:lsdException w:unhideWhenUsed="0" w:uiPriority="99" w:semiHidden="0" w:name="Medium List 2 Accent 2"/>
    <w:lsdException w:unhideWhenUsed="0" w:uiPriority="99" w:semiHidden="0" w:name="Medium Grid 1 Accent 2"/>
    <w:lsdException w:unhideWhenUsed="0" w:uiPriority="99" w:semiHidden="0" w:name="Medium Grid 2 Accent 2"/>
    <w:lsdException w:unhideWhenUsed="0" w:uiPriority="99" w:semiHidden="0" w:name="Medium Grid 3 Accent 2"/>
    <w:lsdException w:unhideWhenUsed="0" w:uiPriority="99" w:semiHidden="0" w:name="Dark List Accent 2"/>
    <w:lsdException w:unhideWhenUsed="0" w:uiPriority="99" w:semiHidden="0" w:name="Colorful Shading Accent 2"/>
    <w:lsdException w:unhideWhenUsed="0" w:uiPriority="99" w:semiHidden="0" w:name="Colorful List Accent 2"/>
    <w:lsdException w:unhideWhenUsed="0" w:uiPriority="99" w:semiHidden="0" w:name="Colorful Grid Accent 2"/>
    <w:lsdException w:unhideWhenUsed="0" w:uiPriority="99" w:semiHidden="0" w:name="Light Shading Accent 3"/>
    <w:lsdException w:unhideWhenUsed="0" w:uiPriority="99" w:semiHidden="0" w:name="Light List Accent 3"/>
    <w:lsdException w:unhideWhenUsed="0" w:uiPriority="99" w:semiHidden="0" w:name="Light Grid Accent 3"/>
    <w:lsdException w:unhideWhenUsed="0" w:uiPriority="99" w:semiHidden="0" w:name="Medium Shading 1 Accent 3"/>
    <w:lsdException w:unhideWhenUsed="0" w:uiPriority="99" w:semiHidden="0" w:name="Medium Shading 2 Accent 3"/>
    <w:lsdException w:unhideWhenUsed="0" w:uiPriority="99" w:semiHidden="0" w:name="Medium List 1 Accent 3"/>
    <w:lsdException w:unhideWhenUsed="0" w:uiPriority="99" w:semiHidden="0" w:name="Medium List 2 Accent 3"/>
    <w:lsdException w:unhideWhenUsed="0" w:uiPriority="99" w:semiHidden="0" w:name="Medium Grid 1 Accent 3"/>
    <w:lsdException w:unhideWhenUsed="0" w:uiPriority="99" w:semiHidden="0" w:name="Medium Grid 2 Accent 3"/>
    <w:lsdException w:unhideWhenUsed="0" w:uiPriority="99" w:semiHidden="0" w:name="Medium Grid 3 Accent 3"/>
    <w:lsdException w:unhideWhenUsed="0" w:uiPriority="99" w:semiHidden="0" w:name="Dark List Accent 3"/>
    <w:lsdException w:unhideWhenUsed="0" w:uiPriority="99" w:semiHidden="0" w:name="Colorful Shading Accent 3"/>
    <w:lsdException w:unhideWhenUsed="0" w:uiPriority="99" w:semiHidden="0" w:name="Colorful List Accent 3"/>
    <w:lsdException w:unhideWhenUsed="0" w:uiPriority="99" w:semiHidden="0" w:name="Colorful Grid Accent 3"/>
    <w:lsdException w:unhideWhenUsed="0" w:uiPriority="99" w:semiHidden="0" w:name="Light Shading Accent 4"/>
    <w:lsdException w:unhideWhenUsed="0" w:uiPriority="99" w:semiHidden="0" w:name="Light List Accent 4"/>
    <w:lsdException w:unhideWhenUsed="0" w:uiPriority="99" w:semiHidden="0" w:name="Light Grid Accent 4"/>
    <w:lsdException w:unhideWhenUsed="0" w:uiPriority="99" w:semiHidden="0" w:name="Medium Shading 1 Accent 4"/>
    <w:lsdException w:unhideWhenUsed="0" w:uiPriority="99" w:semiHidden="0" w:name="Medium Shading 2 Accent 4"/>
    <w:lsdException w:unhideWhenUsed="0" w:uiPriority="99" w:semiHidden="0" w:name="Medium List 1 Accent 4"/>
    <w:lsdException w:unhideWhenUsed="0" w:uiPriority="99" w:semiHidden="0" w:name="Medium List 2 Accent 4"/>
    <w:lsdException w:unhideWhenUsed="0" w:uiPriority="99" w:semiHidden="0" w:name="Medium Grid 1 Accent 4"/>
    <w:lsdException w:unhideWhenUsed="0" w:uiPriority="99" w:semiHidden="0" w:name="Medium Grid 2 Accent 4"/>
    <w:lsdException w:unhideWhenUsed="0" w:uiPriority="99" w:semiHidden="0" w:name="Medium Grid 3 Accent 4"/>
    <w:lsdException w:unhideWhenUsed="0" w:uiPriority="99" w:semiHidden="0" w:name="Dark List Accent 4"/>
    <w:lsdException w:unhideWhenUsed="0" w:uiPriority="99" w:semiHidden="0" w:name="Colorful Shading Accent 4"/>
    <w:lsdException w:unhideWhenUsed="0" w:uiPriority="99" w:semiHidden="0" w:name="Colorful List Accent 4"/>
    <w:lsdException w:unhideWhenUsed="0" w:uiPriority="99" w:semiHidden="0" w:name="Colorful Grid Accent 4"/>
    <w:lsdException w:unhideWhenUsed="0" w:uiPriority="99" w:semiHidden="0" w:name="Light Shading Accent 5"/>
    <w:lsdException w:unhideWhenUsed="0" w:uiPriority="99" w:semiHidden="0" w:name="Light List Accent 5"/>
    <w:lsdException w:unhideWhenUsed="0" w:uiPriority="99" w:semiHidden="0" w:name="Light Grid Accent 5"/>
    <w:lsdException w:unhideWhenUsed="0" w:uiPriority="99" w:semiHidden="0" w:name="Medium Shading 1 Accent 5"/>
    <w:lsdException w:unhideWhenUsed="0" w:uiPriority="99" w:semiHidden="0" w:name="Medium Shading 2 Accent 5"/>
    <w:lsdException w:unhideWhenUsed="0" w:uiPriority="99" w:semiHidden="0" w:name="Medium List 1 Accent 5"/>
    <w:lsdException w:unhideWhenUsed="0" w:uiPriority="99" w:semiHidden="0" w:name="Medium List 2 Accent 5"/>
    <w:lsdException w:unhideWhenUsed="0" w:uiPriority="99" w:semiHidden="0" w:name="Medium Grid 1 Accent 5"/>
    <w:lsdException w:unhideWhenUsed="0" w:uiPriority="99" w:semiHidden="0" w:name="Medium Grid 2 Accent 5"/>
    <w:lsdException w:unhideWhenUsed="0" w:uiPriority="99" w:semiHidden="0" w:name="Medium Grid 3 Accent 5"/>
    <w:lsdException w:unhideWhenUsed="0" w:uiPriority="99" w:semiHidden="0" w:name="Dark List Accent 5"/>
    <w:lsdException w:unhideWhenUsed="0" w:uiPriority="99" w:semiHidden="0" w:name="Colorful Shading Accent 5"/>
    <w:lsdException w:unhideWhenUsed="0" w:uiPriority="99" w:semiHidden="0" w:name="Colorful List Accent 5"/>
    <w:lsdException w:unhideWhenUsed="0" w:uiPriority="99" w:semiHidden="0" w:name="Colorful Grid Accent 5"/>
    <w:lsdException w:unhideWhenUsed="0" w:uiPriority="99" w:semiHidden="0" w:name="Light Shading Accent 6"/>
    <w:lsdException w:unhideWhenUsed="0" w:uiPriority="99" w:semiHidden="0" w:name="Light List Accent 6"/>
    <w:lsdException w:unhideWhenUsed="0" w:uiPriority="99" w:semiHidden="0" w:name="Light Grid Accent 6"/>
    <w:lsdException w:unhideWhenUsed="0" w:uiPriority="99" w:semiHidden="0" w:name="Medium Shading 1 Accent 6"/>
    <w:lsdException w:unhideWhenUsed="0" w:uiPriority="99" w:semiHidden="0" w:name="Medium Shading 2 Accent 6"/>
    <w:lsdException w:unhideWhenUsed="0" w:uiPriority="99" w:semiHidden="0" w:name="Medium List 1 Accent 6"/>
    <w:lsdException w:unhideWhenUsed="0" w:uiPriority="99" w:semiHidden="0" w:name="Medium List 2 Accent 6"/>
    <w:lsdException w:unhideWhenUsed="0" w:uiPriority="99" w:semiHidden="0" w:name="Medium Grid 1 Accent 6"/>
    <w:lsdException w:unhideWhenUsed="0" w:uiPriority="99" w:semiHidden="0" w:name="Medium Grid 2 Accent 6"/>
    <w:lsdException w:unhideWhenUsed="0" w:uiPriority="99" w:semiHidden="0" w:name="Medium Grid 3 Accent 6"/>
    <w:lsdException w:unhideWhenUsed="0" w:uiPriority="99" w:semiHidden="0" w:name="Dark List Accent 6"/>
    <w:lsdException w:unhideWhenUsed="0" w:uiPriority="99" w:semiHidden="0" w:name="Colorful Shading Accent 6"/>
    <w:lsdException w:unhideWhenUsed="0" w:uiPriority="99" w:semiHidden="0" w:name="Colorful List Accent 6"/>
    <w:lsdException w:unhideWhenUsed="0" w:uiPriority="99" w:semiHidden="0" w:name="Colorful Grid Accent 6"/>
  </w:latentStyles>
  <w:style w:type="paragraph" w:default="1" w:styleId="1">
    <w:name w:val="Normal"/>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uiPriority w:val="99"/>
  </w:style>
  <w:style w:type="table" w:default="1" w:styleId="12">
    <w:name w:val="Normal Table"/>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0"/>
    <w:pPr>
      <w:keepNext w:val="0"/>
      <w:keepLines w:val="0"/>
      <w:widowControl/>
      <w:suppressLineNumbers w:val="0"/>
      <w:tabs>
        <w:tab w:val="center" w:pos="4153"/>
        <w:tab w:val="right" w:pos="8306"/>
      </w:tabs>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link w:val="19"/>
    <w:semiHidden/>
    <w:unhideWhenUsed/>
    <w:uiPriority w:val="0"/>
    <w:pPr>
      <w:keepNext w:val="0"/>
      <w:keepLines w:val="0"/>
      <w:widowControl/>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11">
    <w:name w:val="Normal (Web)"/>
    <w:basedOn w:val="1"/>
    <w:semiHidden/>
    <w:unhideWhenUsed/>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3">
    <w:name w:val="Table Grid"/>
    <w:basedOn w:val="12"/>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5">
    <w:name w:val="Strong"/>
    <w:basedOn w:val="14"/>
    <w:qFormat/>
    <w:uiPriority w:val="22"/>
    <w:rPr>
      <w:b/>
    </w:rPr>
  </w:style>
  <w:style w:type="character" w:styleId="16">
    <w:name w:val="FollowedHyperlink"/>
    <w:basedOn w:val="14"/>
    <w:semiHidden/>
    <w:unhideWhenUsed/>
    <w:uiPriority w:val="0"/>
    <w:rPr>
      <w:color w:val="800080"/>
      <w:u w:val="single"/>
    </w:rPr>
  </w:style>
  <w:style w:type="character" w:styleId="17">
    <w:name w:val="Hyperlink"/>
    <w:basedOn w:val="14"/>
    <w:semiHidden/>
    <w:unhideWhenUsed/>
    <w:uiPriority w:val="0"/>
    <w:rPr>
      <w:color w:val="0000FF"/>
      <w:u w:val="single"/>
    </w:rPr>
  </w:style>
  <w:style w:type="character" w:customStyle="1" w:styleId="18">
    <w:name w:val="页脚 Char"/>
    <w:basedOn w:val="14"/>
    <w:link w:val="8"/>
    <w:locked/>
    <w:uiPriority w:val="0"/>
    <w:rPr>
      <w:rFonts w:hint="eastAsia" w:ascii="宋体" w:hAnsi="宋体" w:eastAsia="宋体" w:cs="宋体"/>
      <w:sz w:val="18"/>
      <w:szCs w:val="18"/>
    </w:rPr>
  </w:style>
  <w:style w:type="character" w:customStyle="1" w:styleId="19">
    <w:name w:val="页眉 Char"/>
    <w:basedOn w:val="14"/>
    <w:link w:val="9"/>
    <w:locked/>
    <w:uiPriority w:val="0"/>
    <w:rPr>
      <w:rFonts w:hint="eastAsia" w:ascii="宋体" w:hAnsi="宋体" w:eastAsia="宋体" w:cs="宋体"/>
      <w:sz w:val="18"/>
      <w:szCs w:val="18"/>
    </w:rPr>
  </w:style>
  <w:style w:type="paragraph" w:customStyle="1" w:styleId="20">
    <w:name w:val="exceltable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formtitle"/>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36"/>
      <w:szCs w:val="36"/>
      <w:lang w:val="en-US" w:eastAsia="zh-CN" w:bidi="ar"/>
    </w:rPr>
  </w:style>
  <w:style w:type="paragraph" w:customStyle="1" w:styleId="22">
    <w:name w:val="tdborder"/>
    <w:basedOn w:val="1"/>
    <w:uiPriority w:val="0"/>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tdleft"/>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4">
    <w:name w:val="tdright"/>
    <w:basedOn w:val="1"/>
    <w:uiPriority w:val="0"/>
    <w:pPr>
      <w:keepNext w:val="0"/>
      <w:keepLines w:val="0"/>
      <w:widowControl/>
      <w:suppressLineNumbers w:val="0"/>
      <w:spacing w:before="0" w:beforeAutospacing="1" w:after="0" w:afterAutospacing="1"/>
      <w:ind w:left="0" w:right="0"/>
      <w:jc w:val="right"/>
    </w:pPr>
    <w:rPr>
      <w:rFonts w:hint="eastAsia" w:ascii="宋体" w:hAnsi="宋体" w:eastAsia="宋体" w:cs="宋体"/>
      <w:kern w:val="0"/>
      <w:sz w:val="24"/>
      <w:szCs w:val="24"/>
      <w:lang w:val="en-US" w:eastAsia="zh-CN" w:bidi="ar"/>
    </w:rPr>
  </w:style>
  <w:style w:type="paragraph" w:customStyle="1" w:styleId="25">
    <w:name w:val="tdcenter"/>
    <w:basedOn w:val="1"/>
    <w:uiPriority w:val="0"/>
    <w:pPr>
      <w:keepNext w:val="0"/>
      <w:keepLines w:val="0"/>
      <w:widowControl/>
      <w:suppressLineNumbers w:val="0"/>
      <w:spacing w:before="0" w:beforeAutospacing="1" w:after="0" w:afterAutospacing="1"/>
      <w:ind w:left="0" w:right="0"/>
      <w:jc w:val="center"/>
    </w:pPr>
    <w:rPr>
      <w:rFonts w:hint="eastAsia" w:ascii="宋体" w:hAnsi="宋体" w:eastAsia="宋体" w:cs="宋体"/>
      <w:kern w:val="0"/>
      <w:sz w:val="24"/>
      <w:szCs w:val="24"/>
      <w:lang w:val="en-US" w:eastAsia="zh-CN" w:bidi="ar"/>
    </w:rPr>
  </w:style>
  <w:style w:type="paragraph" w:customStyle="1" w:styleId="26">
    <w:name w:val="tdjg"/>
    <w:basedOn w:val="1"/>
    <w:uiPriority w:val="0"/>
    <w:pPr>
      <w:keepNext w:val="0"/>
      <w:keepLines w:val="0"/>
      <w:widowControl/>
      <w:suppressLineNumbers w:val="0"/>
      <w:pBdr>
        <w:top w:val="single" w:color="000000" w:sz="2" w:space="0"/>
        <w:left w:val="single" w:color="000000" w:sz="2" w:space="0"/>
        <w:bottom w:val="single" w:color="000000" w:sz="2" w:space="0"/>
        <w:right w:val="single" w:color="000000" w:sz="2" w:space="0"/>
      </w:pBd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1499</Words>
  <Characters>1580</Characters>
  <Lines>4</Lines>
  <Paragraphs>1</Paragraphs>
  <TotalTime>45191.6250000002</TotalTime>
  <ScaleCrop>false</ScaleCrop>
  <LinksUpToDate>false</LinksUpToDate>
  <CharactersWithSpaces>1648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谢毅</dc:creator>
  <cp:lastModifiedBy>Administrator</cp:lastModifiedBy>
  <dcterms:modified xsi:type="dcterms:W3CDTF">2023-09-22T07:19:46Z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85E3A3BFE28E4B0F916D7B32B2568EBA_13</vt:lpwstr>
  </property>
</Properties>
</file>