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"/>
        <w:gridCol w:w="1014"/>
        <w:gridCol w:w="1360"/>
        <w:gridCol w:w="1360"/>
        <w:gridCol w:w="1645"/>
        <w:gridCol w:w="1360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总编号：0592 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类 别：工交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分类号：393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湖南省人民代表大会代表建议、批评和意见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建议标题 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关于将“高强度聚焦超声热消融肿瘤治疗”纳入医保的建议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代表姓名 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彭丽秀 等 1 名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 表 团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郴州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423000  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建议内容（包括案由、案据和方案）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20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随着科技的不断创新，外科手术诊疗已从既往的巨创（开腹）发展到微创（腔镜）到目前的微无创（如：高强度聚焦超声，又称“海扶刀”）。海扶刀技术运用临床已20年，目前技术已相当成熟，其利用热消融的原理，可以治愈妇科的常见病及多发病，如子宫肌瘤、子宫腺肌瘤、剖宫产瘢痕部位妊娠、胎盘残留/植入、腹壁切口子宫内膜异位症等,可以达到与传统手术治疗方式相同甚至更高的治疗效果，同时在海扶治疗过程中不开刀、不麻醉、不流血，患者恢复快，术后第二天就能出院，可以很好的保留女性生育功能。</w:t>
            </w:r>
            <w:r>
              <w:rPr>
                <w:rFonts w:hint="eastAsia" w:ascii="宋体" w:hAnsi="宋体" w:eastAsia="宋体" w:cs="宋体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sz w:val="36"/>
                <w:szCs w:val="36"/>
              </w:rPr>
              <w:t xml:space="preserve">    高强度超声聚焦从1999年应用于临床至今，已经在欧洲癌症中心、牛津大学丘吉尔医院、俄罗斯国家外科中心、北京301医院、复旦大学附属肿瘤医院、郑州大学附属第一医院、重庆医科大附属医院、及上海、深圳等多家医院成功治疗患者数万例。其中在妇科临床应用最为广泛，治疗子宫肌瘤、子宫腺肌症治疗有效率达94%。从2012年起我省先后在湘雅三医院、常德市中医院、郴州市第一人民医院、湖南省妇幼保健院、浏阳市人民医院、岳阳市第一人民医院、岳阳市妇幼保健院开展此项技术，目前治疗病例达近2万人次，为减轻患者病痛、保留子宫、改善生育起了重要的作用，并且通过此技术住院费用还少于同类疾病的其它手术处理费用，是一项关乎女性生殖健康的实用技术。海扶技术除了用于妇科疾病外，还能用于骨肉瘤、肝癌、胰腺癌等恶性肿瘤，2020年湘雅三医院治疗胰腺癌患者43例，取得了良好效果，减轻患者疼痛、延长患者生存率，已显示其在治疗恶性肿瘤中的良好前景，是造福患者的一项创新技术，但是湖南省仍未将聚焦超声消融治疗纳入《湖南省基本医疗保险目录》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20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 xml:space="preserve">因此，建议：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20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 xml:space="preserve">1.省政府将聚焦超声热消融纳入《湖南省基本医疗保险目录》以指导各地医保部门将此类适宜医疗技术纳入《城镇职工基本医疗保险诊疗范围》以及《新型农村合作医疗保险项目》。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20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 xml:space="preserve">2.省医保局等部门应重视医疗新技术新项目开展情况，及时将确切适用的新技术纳入医保目录给予一定的报销而惠及民生。 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建议日期 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2021-01-26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审查意见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接收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2021-01-26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办理单位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主办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省医疗保障局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会办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附议人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EBC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tdborder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jc w:val="left"/>
    </w:pPr>
    <w:rPr>
      <w:kern w:val="0"/>
      <w:lang w:val="en-US" w:eastAsia="zh-CN" w:bidi="ar"/>
    </w:rPr>
  </w:style>
  <w:style w:type="paragraph" w:customStyle="1" w:styleId="13">
    <w:name w:val="tdcenter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4">
    <w:name w:val="exceltable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5">
    <w:name w:val="formtitle"/>
    <w:basedOn w:val="1"/>
    <w:uiPriority w:val="0"/>
    <w:pPr>
      <w:jc w:val="center"/>
    </w:pPr>
    <w:rPr>
      <w:kern w:val="0"/>
      <w:sz w:val="48"/>
      <w:szCs w:val="48"/>
      <w:lang w:val="en-US" w:eastAsia="zh-CN" w:bidi="ar"/>
    </w:rPr>
  </w:style>
  <w:style w:type="paragraph" w:customStyle="1" w:styleId="16">
    <w:name w:val="tdjg"/>
    <w:basedOn w:val="1"/>
    <w:uiPriority w:val="0"/>
    <w:pPr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pBdr>
      <w:jc w:val="left"/>
    </w:pPr>
    <w:rPr>
      <w:kern w:val="0"/>
      <w:lang w:val="en-US" w:eastAsia="zh-CN" w:bidi="ar"/>
    </w:rPr>
  </w:style>
  <w:style w:type="paragraph" w:customStyle="1" w:styleId="17">
    <w:name w:val="td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">
    <w:name w:val="tdright"/>
    <w:basedOn w:val="1"/>
    <w:uiPriority w:val="0"/>
    <w:pPr>
      <w:jc w:val="righ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Office_4.1.2.6545_F1E327BC-269C-435d-A152-05C5408002CA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2022-07-07T18:42:28Z</dcterms:created>
  <dc:creator>Data</dc:creator>
  <cp:lastModifiedBy>maer</cp:lastModifiedBy>
  <dcterms:modified xsi:type="dcterms:W3CDTF">2022-07-07T18:43:23Z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