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药品管理法实施条例</w:t>
      </w:r>
      <w:bookmarkEnd w:id="0"/>
    </w:p>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第一章　总</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根据《中华人民共和国药品管理法》（以下简称</w:t>
      </w:r>
      <w:r>
        <w:rPr>
          <w:rFonts w:hint="eastAsia" w:ascii="仿宋_GB2312" w:eastAsia="仿宋_GB2312"/>
          <w:sz w:val="32"/>
          <w:szCs w:val="32"/>
          <w:lang w:eastAsia="zh-CN"/>
        </w:rPr>
        <w:t>《中华人民共和国药品管理法》</w:t>
      </w:r>
      <w:r>
        <w:rPr>
          <w:rFonts w:hint="eastAsia" w:ascii="仿宋_GB2312" w:eastAsia="仿宋_GB2312"/>
          <w:sz w:val="32"/>
          <w:szCs w:val="32"/>
        </w:rPr>
        <w:t>），制定本条例。</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国务院药品监督管理部门设置国家药品检验机构。</w:t>
      </w:r>
      <w:r>
        <w:rPr>
          <w:rFonts w:ascii="仿宋_GB2312" w:eastAsia="仿宋_GB2312"/>
          <w:sz w:val="32"/>
          <w:szCs w:val="32"/>
        </w:rPr>
        <w:t xml:space="preserve"> 省、自治区、直辖市人民政府药品监督管理部门可以在本行政区域内设置药品检验机构。地方药品检验机构的设置规划由省、自治区、直辖市人民政府药品监督管理部门提出，报省、自治区、直辖市人民政府批准。 国务院和省、自治区、直辖市人民政府的药品监督管理部门可以根据需要，确定符合药品检验条件的检验机构承担药品检验工作。</w:t>
      </w:r>
    </w:p>
    <w:p>
      <w:pPr>
        <w:ind w:firstLine="640" w:firstLineChars="200"/>
        <w:rPr>
          <w:rFonts w:ascii="黑体" w:hAnsi="黑体" w:eastAsia="黑体"/>
          <w:sz w:val="32"/>
          <w:szCs w:val="32"/>
        </w:rPr>
      </w:pPr>
      <w:r>
        <w:rPr>
          <w:rFonts w:hint="eastAsia" w:ascii="黑体" w:hAnsi="黑体" w:eastAsia="黑体"/>
          <w:sz w:val="32"/>
          <w:szCs w:val="32"/>
        </w:rPr>
        <w:t>第二章　药品生产企业管理</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开办药品生产企业，申办人应当向拟办企业所在地省、自治区、直辖市人民政府药品监督管理部门提出申请。省、自治区、直辖市人民政府药品监督管理部门应当自收到申请之日起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第八条规定的开办条件组织验收；验收合格的，发给《药品生产许可证》。</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药品生产企业变更《药品生产许可证》许可事项的，应当在许可事项发生变更</w:t>
      </w:r>
      <w:r>
        <w:rPr>
          <w:rFonts w:ascii="仿宋_GB2312" w:eastAsia="仿宋_GB2312"/>
          <w:sz w:val="32"/>
          <w:szCs w:val="32"/>
        </w:rPr>
        <w:t>30日前，向原发证机关申请《药品生产许可证》变更登记；未经批准，不得变更许可事项。原发证机关应当自收到申请之日起15个工作日内作出决定。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Pr>
          <w:rFonts w:ascii="仿宋_GB2312" w:eastAsia="仿宋_GB2312"/>
          <w:sz w:val="32"/>
          <w:szCs w:val="32"/>
        </w:rPr>
        <w:t xml:space="preserve"> 《药品生产质量管理规范》认证证书的格式由国务院药品监督管理部门统一规定。</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新开办药品生产企业、药品生产企业新建药品生产车间或者新增生产剂型的，应当自取得药品生产证明文件或者经批准正式生产之日起</w:t>
      </w:r>
      <w:r>
        <w:rPr>
          <w:rFonts w:ascii="仿宋_GB2312" w:eastAsia="仿宋_GB2312"/>
          <w:sz w:val="32"/>
          <w:szCs w:val="32"/>
        </w:rPr>
        <w:t>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《药品生产许可证》有效期为</w:t>
      </w:r>
      <w:r>
        <w:rPr>
          <w:rFonts w:ascii="仿宋_GB2312" w:eastAsia="仿宋_GB2312"/>
          <w:sz w:val="32"/>
          <w:szCs w:val="32"/>
        </w:rPr>
        <w:t>5年。有效期届满，需要继续生产药品的，持证企业应当在许可证有效期届满前6个月，按照国务院药品监督管理部门的规定申请换发《药品生产许可证》。药品生产企业终止生产药品或者关闭的，《药品生产许可证》由原发证部门缴销。</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药品生产企业生产药品所使用的原料药，必须具有国务院药品监督管理部门核发的药品批准文号或者进口药品注册证书、医药产品注册证书；但是，未实施批准文号管理的中药材、中药饮片除外。</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依据</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第十三条规定，接受委托生产药品的，受托方必须是持有与其受托生产的药品相适应的《药品生产质量管理规范》认证证书的药品生产企业。</w:t>
      </w:r>
      <w:r>
        <w:rPr>
          <w:rFonts w:ascii="仿宋_GB2312" w:eastAsia="仿宋_GB2312"/>
          <w:sz w:val="32"/>
          <w:szCs w:val="32"/>
        </w:rPr>
        <w:t xml:space="preserve"> 疫苗、血液制品和国务院药品监督管理部门规定的其他药品，不得委托生产。</w:t>
      </w:r>
    </w:p>
    <w:p>
      <w:pPr>
        <w:ind w:firstLine="640" w:firstLineChars="200"/>
        <w:rPr>
          <w:rFonts w:ascii="仿宋_GB2312" w:eastAsia="仿宋_GB2312"/>
          <w:sz w:val="32"/>
          <w:szCs w:val="32"/>
        </w:rPr>
      </w:pPr>
      <w:r>
        <w:rPr>
          <w:rFonts w:hint="eastAsia" w:ascii="黑体" w:hAnsi="黑体" w:eastAsia="黑体"/>
          <w:sz w:val="32"/>
          <w:szCs w:val="32"/>
        </w:rPr>
        <w:t>第三章　药品经营企业管理</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开办药品批发企业，申办人应当向拟办企业所在地省、自治区、直辖市人民政府药品监督管理部门提出申请。省、自治区、直辖市人民政府药品监督管理部门应当自收到申请之日起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30个工作日内，依据国务院药品监督管理部门规定的设置标准作出是否同意筹建的决定。申办人完成拟办企业筹建后，应当向原审批部门申请验收。原审批部门应当自收到申请之日起30个工作日内，依据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第十五条规定的开办条件组织验收；符合条件的，发给《药品经营许可证》。</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Pr>
          <w:rFonts w:ascii="仿宋_GB2312" w:eastAsia="仿宋_GB2312"/>
          <w:sz w:val="32"/>
          <w:szCs w:val="32"/>
        </w:rPr>
        <w:t>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w:t>
      </w:r>
      <w:r>
        <w:rPr>
          <w:rFonts w:hint="eastAsia" w:ascii="仿宋_GB2312" w:eastAsia="仿宋_GB2312"/>
          <w:sz w:val="32"/>
          <w:szCs w:val="32"/>
          <w:lang w:eastAsia="zh-CN"/>
        </w:rPr>
        <w:t>《中华人民共和国药品管理法》</w:t>
      </w:r>
      <w:r>
        <w:rPr>
          <w:rFonts w:ascii="仿宋_GB2312" w:eastAsia="仿宋_GB2312"/>
          <w:sz w:val="32"/>
          <w:szCs w:val="32"/>
        </w:rPr>
        <w:t>第十五条规定的开办条件组织验收；符合条件的，发给《药品经营许可证</w:t>
      </w:r>
      <w:r>
        <w:rPr>
          <w:rFonts w:hint="eastAsia" w:ascii="仿宋_GB2312"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r>
        <w:rPr>
          <w:rFonts w:ascii="仿宋_GB2312" w:eastAsia="仿宋_GB2312"/>
          <w:sz w:val="32"/>
          <w:szCs w:val="32"/>
        </w:rPr>
        <w:t xml:space="preserve"> 新开办药品批发企业和药品零售企业，应当自取得《药品经营许可证》之日起30日内，向发给其《药品经营许可证》的药品监督管理部门或者药品监督管理机</w:t>
      </w:r>
      <w:r>
        <w:rPr>
          <w:rFonts w:hint="eastAsia" w:ascii="仿宋_GB2312" w:eastAsia="仿宋_GB2312"/>
          <w:sz w:val="32"/>
          <w:szCs w:val="32"/>
        </w:rPr>
        <w:t>构申请《药品经营质量管理规范》认证。受理申请的药品监督管理部门或者药品监督管理机构应当自收到申请之日起</w:t>
      </w:r>
      <w:r>
        <w:rPr>
          <w:rFonts w:ascii="仿宋_GB2312" w:eastAsia="仿宋_GB2312"/>
          <w:sz w:val="32"/>
          <w:szCs w:val="32"/>
        </w:rPr>
        <w:t>3个月内，按照国务院药品监督管理部门的规定，组织对申请认证的药品批发企业或者药品零售企业是否符合《药品经营质量管理规范》进行认证；认证合格的，发给认证证书。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国家实行处方药和非处方药分类管理制度。国家根据非处方药品的安全性，将非处方药分为甲类非处方药和乙类非处方药。</w:t>
      </w:r>
      <w:r>
        <w:rPr>
          <w:rFonts w:ascii="仿宋_GB2312" w:eastAsia="仿宋_GB2312"/>
          <w:sz w:val="32"/>
          <w:szCs w:val="32"/>
        </w:rPr>
        <w:t xml:space="preserve">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药品经营企业变更《药品经营许可证》许可事项的，应当在许可事项发生变更</w:t>
      </w:r>
      <w:r>
        <w:rPr>
          <w:rFonts w:ascii="仿宋_GB2312" w:eastAsia="仿宋_GB2312"/>
          <w:sz w:val="32"/>
          <w:szCs w:val="32"/>
        </w:rPr>
        <w:t>30日前，向原发证机关申请《药品经营许可证》变更登记；未经批准，不得变更许可事项。原发证机关应当自收到企业申请之日起15个工作日内作出决定。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《药品经营许可证》有效期为</w:t>
      </w:r>
      <w:r>
        <w:rPr>
          <w:rFonts w:ascii="仿宋_GB2312" w:eastAsia="仿宋_GB2312"/>
          <w:sz w:val="32"/>
          <w:szCs w:val="32"/>
        </w:rPr>
        <w:t>5年。有效期届满，需要继续经营药品的，持证企业应当在许可证有效期届满前6个月，按照国务院药品监督管理部门的规定申请换发《药品经营许可证》。 药品经营企业终止经营药品或者关闭的，《药品经营许可证》由原发证机关缴销。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通过互联网进行药品交易的药品生产企业、药品经营企业、医疗机构及其交易的药品，必须符合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和本条例的规定。互联网药品交易服务的管理办法，由国务院药品监督管理部门会同国务院有关部门制定。</w:t>
      </w:r>
    </w:p>
    <w:p>
      <w:pPr>
        <w:ind w:firstLine="640" w:firstLineChars="200"/>
        <w:rPr>
          <w:rFonts w:ascii="仿宋_GB2312" w:eastAsia="仿宋_GB2312"/>
          <w:sz w:val="32"/>
          <w:szCs w:val="32"/>
        </w:rPr>
      </w:pPr>
      <w:r>
        <w:rPr>
          <w:rFonts w:hint="eastAsia" w:ascii="黑体" w:hAnsi="黑体" w:eastAsia="黑体"/>
          <w:sz w:val="32"/>
          <w:szCs w:val="32"/>
        </w:rPr>
        <w:t>第四章　医疗机构的药剂管理</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ascii="仿宋_GB2312" w:eastAsia="仿宋_GB2312"/>
          <w:sz w:val="32"/>
          <w:szCs w:val="32"/>
        </w:rPr>
        <w:t xml:space="preserve"> 省、自治区、直辖市人民政府卫生行政部门和药品监督管理部门应当在各自收到申请之日起30个工作日内，作出是否同意或者批准的决定。</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医疗机构变更《医疗机构制剂许可证》许可事项的，应当在许可事项发生变更</w:t>
      </w:r>
      <w:r>
        <w:rPr>
          <w:rFonts w:ascii="仿宋_GB2312" w:eastAsia="仿宋_GB2312"/>
          <w:sz w:val="32"/>
          <w:szCs w:val="32"/>
        </w:rPr>
        <w:t>30日前，依照本条例第二十条的规定向原审核、批准机关申请《医疗机构制剂许可证》变更登记；未经批准，不得变更许可事项。原审核、批准机关应当在各自收到申请之日起15个工作日内作出决定。 医疗机构新增配制剂型或者改变配制场所的，应当经所在地省、自治区、直辖市人民政府药品监督管理部门验收合格后，依照前款规定办理《医疗机构制剂许可证》变更登记。</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《医疗机构制剂许可证》有效期为</w:t>
      </w:r>
      <w:r>
        <w:rPr>
          <w:rFonts w:ascii="仿宋_GB2312" w:eastAsia="仿宋_GB2312"/>
          <w:sz w:val="32"/>
          <w:szCs w:val="32"/>
        </w:rPr>
        <w:t>5年。有效期届满，需要继续配制制剂的，医疗机构应当在许可证有效期届满前6个月，按照国务院药品监督管理部门的规定申请换发《医疗机构制剂许可证》。 医疗机构终止配制制剂或者关闭的，《医疗机构制剂许可证》由原发证机关缴销。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医疗机构配制制剂，必须按照国务院药品监督管理部门的规定报送有关资料和样品，经所在地省、自治区、直辖市人民政府药品监督管理部门批准，并发给制剂批准文号后，方可配制。</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医疗机构配制的制剂不得在市场上销售或者变相销售，不得发布医疗机构制剂广告。</w:t>
      </w:r>
      <w:r>
        <w:rPr>
          <w:rFonts w:ascii="仿宋_GB2312" w:eastAsia="仿宋_GB2312"/>
          <w:sz w:val="32"/>
          <w:szCs w:val="32"/>
        </w:rPr>
        <w:t xml:space="preserve"> 发生灾情、疫情、突发事件或者临床急需而市场没有供应时，经国务院或者省、自治区、直辖市人民政府的药品监督管理部门批准，在规定期限内，医疗机构配制的制剂可以在指定的医疗机构之间调剂使用。 国务院药品监督管理部门规定的特殊制剂的调剂使用以及省、自治区、直辖市之间医疗机构制剂的调剂使用，必须经国务院药品监督管理部门批准。</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医疗机构审核和调配处方的药剂人员必须是依法经资格认定的药学技术人员。</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医疗机构向患者提供的药品应当与诊疗范围相适应，并凭执业医师或者执业助理医师的处方调配。</w:t>
      </w:r>
      <w:r>
        <w:rPr>
          <w:rFonts w:ascii="仿宋_GB2312" w:eastAsia="仿宋_GB2312"/>
          <w:sz w:val="32"/>
          <w:szCs w:val="32"/>
        </w:rPr>
        <w:t xml:space="preserve"> 计划生育技术服务机构采购和向患者提供药品，其范围应当与经批准的服务范围相一致，并凭执业医师或者执业助理医师的处方调配。 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ind w:firstLine="640" w:firstLineChars="200"/>
        <w:rPr>
          <w:rFonts w:ascii="仿宋_GB2312" w:eastAsia="仿宋_GB2312"/>
          <w:sz w:val="32"/>
          <w:szCs w:val="32"/>
        </w:rPr>
      </w:pPr>
      <w:r>
        <w:rPr>
          <w:rFonts w:hint="eastAsia" w:ascii="黑体" w:hAnsi="黑体" w:eastAsia="黑体"/>
          <w:sz w:val="32"/>
          <w:szCs w:val="32"/>
        </w:rPr>
        <w:t>第五章　药品管理</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药物临床试验、生产药品和进口药品，应当符合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研制新药，需要进行临床试验的，应当依照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第二十九条的规定，经国务院药品监督管理部门批准。</w:t>
      </w:r>
      <w:r>
        <w:rPr>
          <w:rFonts w:ascii="仿宋_GB2312" w:eastAsia="仿宋_GB2312"/>
          <w:sz w:val="32"/>
          <w:szCs w:val="32"/>
        </w:rPr>
        <w:t xml:space="preserve"> 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 药物临床试验机构进行药物临床试验，应当事先告知受试者或者其监护人真实情况，并取得其书面同意。</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w:t>
      </w:r>
      <w:r>
        <w:rPr>
          <w:rFonts w:ascii="仿宋_GB2312" w:eastAsia="仿宋_GB2312"/>
          <w:sz w:val="32"/>
          <w:szCs w:val="32"/>
        </w:rPr>
        <w:t>30个工作日内进行审查，提出意见后报送国务院药品监督管理部门审核，并同时将审查意见通知申报方。国务院药品监督管理部门经审核符合规定的，发给药品批准文号。</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国务院药品监督管理部门根据保护公众健康的要求，可以对药品生产企业生产的新药品种设立不超过</w:t>
      </w:r>
      <w:r>
        <w:rPr>
          <w:rFonts w:ascii="仿宋_GB2312" w:eastAsia="仿宋_GB2312"/>
          <w:sz w:val="32"/>
          <w:szCs w:val="32"/>
        </w:rPr>
        <w:t>5年的监测期；在监测期内，不得批准其他企业生产和进口。</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国家对获得生产或者销售含有新型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药品许可的生产者或者销售者提交的自行取得且未披露的试验数据和其他数据实施保护，任何人不得对该未披露的试验数据和其他数据进行不正当的商业利用。</w:t>
      </w:r>
      <w:r>
        <w:rPr>
          <w:rFonts w:ascii="仿宋_GB2312" w:eastAsia="仿宋_GB2312"/>
          <w:sz w:val="32"/>
          <w:szCs w:val="32"/>
        </w:rPr>
        <w:t xml:space="preserve"> 自药品生产者或者销售者获得生产、销售新型</w:t>
      </w:r>
      <w:r>
        <w:rPr>
          <w:rFonts w:hint="eastAsia" w:ascii="仿宋_GB2312" w:eastAsia="仿宋_GB2312"/>
          <w:sz w:val="32"/>
          <w:szCs w:val="32"/>
          <w:lang w:eastAsia="zh-CN"/>
        </w:rPr>
        <w:t>化学成分</w:t>
      </w:r>
      <w:r>
        <w:rPr>
          <w:rFonts w:ascii="仿宋_GB2312" w:eastAsia="仿宋_GB2312"/>
          <w:sz w:val="32"/>
          <w:szCs w:val="32"/>
        </w:rPr>
        <w:t>药品的许可证明文件之日起6年内，对其他申请人未经已获得许可的申请人同意，使用前款数据申请生产、销售新型</w:t>
      </w:r>
      <w:r>
        <w:rPr>
          <w:rFonts w:hint="eastAsia" w:ascii="仿宋_GB2312" w:eastAsia="仿宋_GB2312"/>
          <w:sz w:val="32"/>
          <w:szCs w:val="32"/>
          <w:lang w:eastAsia="zh-CN"/>
        </w:rPr>
        <w:t>化学成分</w:t>
      </w:r>
      <w:r>
        <w:rPr>
          <w:rFonts w:ascii="仿宋_GB2312" w:eastAsia="仿宋_GB2312"/>
          <w:sz w:val="32"/>
          <w:szCs w:val="32"/>
        </w:rPr>
        <w:t>药品许可的，药品监督管理部门不予许可；但是，其他申请人提交自行取得数据的除外。 除下列情形外，药品监督管理部门不得披露本条第一款规定的数据： （一）公共利益需要； （二）已采</w:t>
      </w:r>
      <w:r>
        <w:rPr>
          <w:rFonts w:hint="eastAsia" w:ascii="仿宋_GB2312" w:eastAsia="仿宋_GB2312"/>
          <w:sz w:val="32"/>
          <w:szCs w:val="32"/>
        </w:rPr>
        <w:t>取措施确保该类数据不会被不正当地进行商业利用。</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申请进口的药品，应当是在生产国家或者地区获得上市许可的药品；未在生产国家或者地区获得上市许可的，经国务院药品监督管理部门确认该药品品种安全、有效而且临床需要的，可以依照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及本条例的规定批准进口。</w:t>
      </w:r>
      <w:r>
        <w:rPr>
          <w:rFonts w:ascii="仿宋_GB2312" w:eastAsia="仿宋_GB2312"/>
          <w:sz w:val="32"/>
          <w:szCs w:val="32"/>
        </w:rPr>
        <w:t xml:space="preserve"> 进口药品，应当按照国务院药品监督管理部门的规定申请注册。国外企业生产的药品取得《进口药品注册证》，中国香港、澳门和台湾地区企业生产的药品取得《医药产品注册证》后，方可进口。</w:t>
      </w:r>
    </w:p>
    <w:p>
      <w:pPr>
        <w:ind w:firstLine="640" w:firstLineChars="200"/>
        <w:rPr>
          <w:rFonts w:ascii="仿宋_GB2312" w:eastAsia="仿宋_GB2312"/>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医疗机构因临床急需进口少量药品的，应当持《医疗机构执业许可证》向国务院药品监督管理部门提出申请；经批准后，方可进口。进口的药品应当在指定医疗机构内用于特定医疗目的。</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Pr>
          <w:rFonts w:ascii="仿宋_GB2312" w:eastAsia="仿宋_GB2312"/>
          <w:sz w:val="32"/>
          <w:szCs w:val="32"/>
        </w:rPr>
        <w:t xml:space="preserve"> 口岸所在地药品监督管理部门应当通知药品检验机构对进口药品逐批进行抽查检验；但是，有</w:t>
      </w:r>
      <w:r>
        <w:rPr>
          <w:rFonts w:hint="eastAsia" w:ascii="仿宋_GB2312" w:eastAsia="仿宋_GB2312"/>
          <w:sz w:val="32"/>
          <w:szCs w:val="32"/>
          <w:lang w:eastAsia="zh-CN"/>
        </w:rPr>
        <w:t>《中华人民共和国药品管理法》</w:t>
      </w:r>
      <w:r>
        <w:rPr>
          <w:rFonts w:ascii="仿宋_GB2312" w:eastAsia="仿宋_GB2312"/>
          <w:sz w:val="32"/>
          <w:szCs w:val="32"/>
        </w:rPr>
        <w:t>第四十一条规定情形的除外。</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国家鼓励培育中药材。对集中规模化栽培养殖、质量可以控制并符合国务院药品监督管理部门规定条件的中药材品种，实行批准文号管理。</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国务院药品监督管理部门核发的药品批准文号、《进口药品注册证》、《医药产品注册证》的有效期为</w:t>
      </w:r>
      <w:r>
        <w:rPr>
          <w:rFonts w:ascii="仿宋_GB2312" w:eastAsia="仿宋_GB2312"/>
          <w:sz w:val="32"/>
          <w:szCs w:val="32"/>
        </w:rPr>
        <w:t>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 药品批准文号的再注册由省、自治区、直辖市人民政府药品监督管理部门审批，并报国务院药品监督管理部门备案；《进口药品注册证》、《医药产品注</w:t>
      </w:r>
      <w:r>
        <w:rPr>
          <w:rFonts w:hint="eastAsia" w:ascii="仿宋_GB2312" w:eastAsia="仿宋_GB2312"/>
          <w:sz w:val="32"/>
          <w:szCs w:val="32"/>
        </w:rPr>
        <w:t>册证》的再注册由国务院药品监督管理部门审批。</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非药品不得在其包装、标签、说明书及有关宣传资料上进行含有预防、治疗、诊断人体疾病等有关内容的宣传；但是，法律、行政法规另有规定的除外。</w:t>
      </w:r>
    </w:p>
    <w:p>
      <w:pPr>
        <w:ind w:firstLine="640" w:firstLineChars="200"/>
        <w:rPr>
          <w:rFonts w:ascii="仿宋_GB2312" w:eastAsia="仿宋_GB2312"/>
          <w:sz w:val="32"/>
          <w:szCs w:val="32"/>
        </w:rPr>
      </w:pPr>
      <w:r>
        <w:rPr>
          <w:rFonts w:hint="eastAsia" w:ascii="黑体" w:hAnsi="黑体" w:eastAsia="黑体"/>
          <w:sz w:val="32"/>
          <w:szCs w:val="32"/>
        </w:rPr>
        <w:t>第六章　药品包装的管理</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药品生产企业使用的直接接触药品的包装材料和容器，必须符合药用要求和保障人体健康、安全的标准。</w:t>
      </w:r>
      <w:r>
        <w:rPr>
          <w:rFonts w:ascii="仿宋_GB2312" w:eastAsia="仿宋_GB2312"/>
          <w:sz w:val="32"/>
          <w:szCs w:val="32"/>
        </w:rPr>
        <w:t xml:space="preserve"> 直接接触药品的包装材料和容器的管理办法、产品目录和药用要求与标准，由国务院药品监督管理部门组织制定并公布。</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生产中药饮片，应当选用与药品性质相适应的包装材料和容器；包装不符合规定的中药饮片，不得销售。中药饮片包装必须印有或者贴有标签。</w:t>
      </w:r>
      <w:r>
        <w:rPr>
          <w:rFonts w:ascii="仿宋_GB2312" w:eastAsia="仿宋_GB2312"/>
          <w:sz w:val="32"/>
          <w:szCs w:val="32"/>
        </w:rPr>
        <w:t xml:space="preserve"> 中药饮片的标签必须注明品名、规格、产地、生产企业、产品批号、生产日期，实施批准文号管理的中药饮片还必须注明药品批准文号。</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药品包装、标签、说明书必须依照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第五十四条和国务院药品监督管理部门的规定印制。</w:t>
      </w:r>
      <w:r>
        <w:rPr>
          <w:rFonts w:ascii="仿宋_GB2312" w:eastAsia="仿宋_GB2312"/>
          <w:sz w:val="32"/>
          <w:szCs w:val="32"/>
        </w:rPr>
        <w:t xml:space="preserve"> 药品商品名称应当符合国务院药品监督管理部门的规定。</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医疗机构配制制剂所使用的直接接触药品的包装材料和容器、制剂的标签和说明书应当符合</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第六章和本条例的有关规定，并经省、自治区、直辖市人民政府药品监督管理部门批准。</w:t>
      </w:r>
    </w:p>
    <w:p>
      <w:pPr>
        <w:ind w:firstLine="640" w:firstLineChars="200"/>
        <w:rPr>
          <w:rFonts w:ascii="仿宋_GB2312" w:eastAsia="仿宋_GB2312"/>
          <w:sz w:val="32"/>
          <w:szCs w:val="32"/>
        </w:rPr>
      </w:pPr>
      <w:r>
        <w:rPr>
          <w:rFonts w:hint="eastAsia" w:ascii="黑体" w:hAnsi="黑体" w:eastAsia="黑体"/>
          <w:sz w:val="32"/>
          <w:szCs w:val="32"/>
        </w:rPr>
        <w:t>第七章　药品价格和广告的管理</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发布药品广告，应当向药品生产企业所在地省、自治区、直辖市人民政府药品监督管理部门报送有关材料。省、自治区、直辖市人民政府药品监督管理部门应当自收到有关材料之日起</w:t>
      </w:r>
      <w:r>
        <w:rPr>
          <w:rFonts w:ascii="仿宋_GB2312" w:eastAsia="仿宋_GB2312"/>
          <w:sz w:val="32"/>
          <w:szCs w:val="32"/>
        </w:rPr>
        <w:t>10个工作日内作出是否核发药品广告批准文号的决定；核发药品广告批准文号的，应当同时报国务院药品监督管理部门备案。具体办法由国务院药品监督管理部门制定。 发布进口药品广告，应当依照前款规定向进口药品代理机构所在地省、自治区、直辖市人民政府药品监督管理部门申请药品广告批准文号。 在药品生产企业所在地和进口药品代理机构所在地以外的省、自治区、直辖市发布药品</w:t>
      </w:r>
      <w:r>
        <w:rPr>
          <w:rFonts w:hint="eastAsia" w:ascii="仿宋_GB2312" w:eastAsia="仿宋_GB2312"/>
          <w:sz w:val="32"/>
          <w:szCs w:val="32"/>
        </w:rPr>
        <w:t>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ind w:firstLine="640" w:firstLineChars="200"/>
        <w:rPr>
          <w:rFonts w:ascii="楷体" w:hAnsi="楷体" w:eastAsia="楷体"/>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经国务院或者省、自治区、直辖市人民政府的药品监督管理部门决定，责令暂停生产、销售和使用的药品，在暂停期间不得发布该品种药品广告；已经发布广告的，必须立即停止。</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Pr>
          <w:rFonts w:ascii="仿宋_GB2312" w:eastAsia="仿宋_GB2312"/>
          <w:sz w:val="32"/>
          <w:szCs w:val="32"/>
        </w:rPr>
        <w:t xml:space="preserve"> 对违法发布药品广告，情节严重的，省、自治区、直辖市人民政府药品监督管理部门可以予以公告。</w:t>
      </w:r>
    </w:p>
    <w:p>
      <w:pPr>
        <w:ind w:firstLine="640" w:firstLineChars="200"/>
        <w:rPr>
          <w:rFonts w:ascii="黑体" w:hAnsi="黑体" w:eastAsia="黑体"/>
          <w:sz w:val="32"/>
          <w:szCs w:val="32"/>
        </w:rPr>
      </w:pPr>
      <w:r>
        <w:rPr>
          <w:rFonts w:hint="eastAsia" w:ascii="黑体" w:hAnsi="黑体" w:eastAsia="黑体"/>
          <w:sz w:val="32"/>
          <w:szCs w:val="32"/>
        </w:rPr>
        <w:t>第八章　药品监督</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药品监督管理部门（含省级人民政府药品监督管理部门依法设立的药品监督管理机构，下同）依法对药品的研制、生产、经营、使用实施监督检查。</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药品抽样必须由两名以上药品监督检查人员实施，并按照国务院药品监督管理部门的规定进行抽样；被抽检方应当提供抽检样品，不得拒绝。</w:t>
      </w:r>
      <w:r>
        <w:rPr>
          <w:rFonts w:ascii="仿宋_GB2312" w:eastAsia="仿宋_GB2312"/>
          <w:sz w:val="32"/>
          <w:szCs w:val="32"/>
        </w:rPr>
        <w:t xml:space="preserve"> 药品被抽检单位没有正当理由，拒绝抽查检验的，国务院药品监督管理部门和被抽检单位所在地省、自治区、直辖市人民政府药品监督管理部门可以宣布停止该单位拒绝抽检的药品上市销售和使用。</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w:t>
      </w:r>
      <w:r>
        <w:rPr>
          <w:rFonts w:ascii="仿宋_GB2312" w:eastAsia="仿宋_GB2312"/>
          <w:sz w:val="32"/>
          <w:szCs w:val="32"/>
        </w:rPr>
        <w:t>5日内，在原公告范围内予以更正。 当事人对药品检验机构的检验结果有异议，申请复验的，应当向负责复验的药品检验机构提交书面申请、原药品检验报告书。复验的样品从原药品检验机构留样中抽取。</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药品监督管理部门依法对有证据证明可能危害人体健康的药品及其有关证据材料采取查封、扣押的行政强制措施的，应当自采取行政强制措施之日起</w:t>
      </w:r>
      <w:r>
        <w:rPr>
          <w:rFonts w:ascii="仿宋_GB2312" w:eastAsia="仿宋_GB2312"/>
          <w:sz w:val="32"/>
          <w:szCs w:val="32"/>
        </w:rPr>
        <w:t>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药品抽查检验，不得收取任何费用。</w:t>
      </w:r>
      <w:r>
        <w:rPr>
          <w:rFonts w:ascii="仿宋_GB2312" w:eastAsia="仿宋_GB2312"/>
          <w:sz w:val="32"/>
          <w:szCs w:val="32"/>
        </w:rPr>
        <w:t xml:space="preserve"> 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依据</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和本条例的规定核发证书、进行药品注册、药品认证和实施药品审批检验及其强制性检验，可以收取费用。具体收费标准由国务院财政部门、国务院价格主管部门制定。</w:t>
      </w:r>
    </w:p>
    <w:p>
      <w:pPr>
        <w:ind w:firstLine="640" w:firstLineChars="200"/>
        <w:rPr>
          <w:rFonts w:ascii="仿宋_GB2312" w:eastAsia="仿宋_GB2312"/>
          <w:sz w:val="32"/>
          <w:szCs w:val="32"/>
        </w:rPr>
      </w:pPr>
      <w:r>
        <w:rPr>
          <w:rFonts w:hint="eastAsia" w:ascii="黑体" w:hAnsi="黑体" w:eastAsia="黑体"/>
          <w:sz w:val="32"/>
          <w:szCs w:val="32"/>
        </w:rPr>
        <w:t>第九章　法律责任</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药品生产企业、药品经营企业有下列情形之一的，由药品监督管理部门依照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第七十九条的规定给予处罚：</w:t>
      </w:r>
      <w:r>
        <w:rPr>
          <w:rFonts w:ascii="仿宋_GB2312" w:eastAsia="仿宋_GB2312"/>
          <w:sz w:val="32"/>
          <w:szCs w:val="32"/>
        </w:rPr>
        <w:t xml:space="preserve"> （一）开办药品生产企业、药品生产企业新建药品生产车间、新增生产剂型，在国务院药品监督管理部门规定的时间内未通过《药品生产质量管理规范》认证，仍进行药品生产的； （二）开办药品经营企业，在国务院药品监督管理部门规定的时间内未通过《药品经营质量管理规范》认证，仍进行药品经营的。</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第十三条的规定，擅自委托或者接受委托生产药品的，对委托方和受托方均依照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第七十四条的规定给予处罚。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未经批准，擅自在城乡集市贸易市场设点销售药品或者在城乡集市贸易市场设点销售的药品超出批准经营的药品范围的，依照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未经批准，医疗机构擅自使用其他医疗机构配制的制剂的，依照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第八十条的规定给予处罚。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个人设置的门诊部、诊所等医疗机构向患者提供的药品超出规定的范围和品种的，依照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医疗机构使用假药、劣药的，依照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第七十四条、第七十五条的规定给予处罚。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第二十九条的规定，擅自进行临床试验的，对承担药物临床试验的机构，依照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第七十九条的规定给予处罚。</w:t>
      </w:r>
    </w:p>
    <w:p>
      <w:pPr>
        <w:ind w:firstLine="640" w:firstLineChars="200"/>
        <w:rPr>
          <w:rFonts w:ascii="仿宋_GB2312" w:eastAsia="仿宋_GB2312"/>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药品申报者在申报临床试验时，报送虚假研制方法、质量标准、药理及毒理试验结果等有关资料和样品的，国务院药品监督管理部门对该申报药品的临床试验不予批准，对药品申报者给予警告；情节严重的，</w:t>
      </w:r>
      <w:r>
        <w:rPr>
          <w:rFonts w:ascii="仿宋_GB2312" w:eastAsia="仿宋_GB2312"/>
          <w:sz w:val="32"/>
          <w:szCs w:val="32"/>
        </w:rPr>
        <w:t>3年内不受理该药品申报者申报该品种的临床试验申请。</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生产没有国家药品标准的中药饮片，不符合省、自治区、直辖市人民政府药品监督管理部门制定的炮制规范的；医疗机构不按照省、自治区、直辖市人民政府药品监督管理部门批准的标准配制制剂的，依照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药品监督管理部门及其工作人员违反规定，泄露生产者、销售者为获得生产、销售含有新型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药品生产企业、药品经营企业生产、经营的药品及医疗机构配制的制剂，其包装、标签、说明书违反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及本条例规定的，依照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第八十六条的规定给予处罚。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篡改经批准的药品广告内容的，由药品监督管理部门责令广告主立即停止该药品广告的发布，并由原审批的药品监督管理部门依照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第九十二条的规定给予处罚。</w:t>
      </w:r>
      <w:r>
        <w:rPr>
          <w:rFonts w:ascii="仿宋_GB2312" w:eastAsia="仿宋_GB2312"/>
          <w:sz w:val="32"/>
          <w:szCs w:val="32"/>
        </w:rPr>
        <w:t xml:space="preserve"> 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未经省、自治区、直辖市人民政府药品监督管理部门批准，擅自发布药品广告的，药品监督管理部门发现后，应当通知广告监督管理部门依法查处。</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和本条例的规定，有下列行为之一的，由药品监督管理部门在</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和本条例规定的处罚幅度内从重处罚：</w:t>
      </w:r>
      <w:r>
        <w:rPr>
          <w:rFonts w:ascii="仿宋_GB2312" w:eastAsia="仿宋_GB2312"/>
          <w:sz w:val="32"/>
          <w:szCs w:val="32"/>
        </w:rPr>
        <w:t xml:space="preserve"> （一）以麻醉药品、精神药品、医疗用毒性药品、放射性药品冒充其他药品，或者以其他药品冒充上述药品的； （二）生产、销售以孕产妇、婴幼儿及儿童为主要使用对象的假药、劣药的； （三）生产、销售的生物制品、血液制品属于假药、劣药的； （四）生产、销售、使用假药、劣药，造成人员伤害后果的； （五）生产、销售、使用假药、劣药，经处理后重犯的； （六）拒绝、逃避监督检查，或者伪造、销毁、隐匿有关证据材</w:t>
      </w:r>
      <w:r>
        <w:rPr>
          <w:rFonts w:hint="eastAsia" w:ascii="仿宋_GB2312" w:eastAsia="仿宋_GB2312"/>
          <w:sz w:val="32"/>
          <w:szCs w:val="32"/>
        </w:rPr>
        <w:t>料的，或者擅自动用查封、扣押物品的。</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药品监督管理部门设置的派出机构，有权作出</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和本条例规定的警告、罚款、没收违法生产、销售的药品和违法所得的行政处罚。</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药品经营企业、医疗机构未违反</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和本条例的有关规定，并有充分证据证明其不知道所销售或者使用的药品是假药、劣药的，应当没收其销售或者使用的假药、劣药和违法所得；但是，可以免除其他行政处罚。</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依照</w:t>
      </w:r>
      <w:r>
        <w:rPr>
          <w:rFonts w:hint="eastAsia" w:ascii="仿宋_GB2312" w:eastAsia="仿宋_GB2312"/>
          <w:sz w:val="32"/>
          <w:szCs w:val="32"/>
          <w:lang w:eastAsia="zh-CN"/>
        </w:rPr>
        <w:t>《中华人民共和国药品管理法》</w:t>
      </w:r>
      <w:r>
        <w:rPr>
          <w:rFonts w:hint="eastAsia" w:ascii="仿宋_GB2312" w:eastAsia="仿宋_GB2312"/>
          <w:sz w:val="32"/>
          <w:szCs w:val="32"/>
        </w:rPr>
        <w:t>和本条例的规定没收的物品，由药品监督管理部门按照规定监督处理。</w:t>
      </w:r>
    </w:p>
    <w:p>
      <w:pPr>
        <w:ind w:firstLine="640" w:firstLineChars="200"/>
        <w:rPr>
          <w:rFonts w:ascii="黑体" w:hAnsi="黑体" w:eastAsia="黑体"/>
          <w:sz w:val="32"/>
          <w:szCs w:val="32"/>
        </w:rPr>
      </w:pPr>
      <w:r>
        <w:rPr>
          <w:rFonts w:hint="eastAsia" w:ascii="黑体" w:hAnsi="黑体" w:eastAsia="黑体"/>
          <w:sz w:val="32"/>
          <w:szCs w:val="32"/>
        </w:rPr>
        <w:t>第十章　附</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本条例下列用语的含义：</w:t>
      </w:r>
      <w:r>
        <w:rPr>
          <w:rFonts w:ascii="仿宋_GB2312" w:eastAsia="仿宋_GB2312"/>
          <w:sz w:val="32"/>
          <w:szCs w:val="32"/>
        </w:rPr>
        <w:t xml:space="preserve"> 药品合格证明和其他标识，是指药品生产批准证明文件、药品检验报告书、药品的包装、标签和说明书。 新药，是指未曾在中国境内上市销售的药品。 处方药，是指凭执业医师和执业助理医师处方方可购买、调配和使用的药品。 非处方药，是指由国务院药品监督管理部门公布的，不需要凭执业医师和执业助理医师处方，消费者可以自行判断、购买和使用的药品。 医疗机构制剂，是指医疗机构根据本单位临床需要经批准而配制、自用的固定处方制剂。 药品认证，是指药品监督管理部门对药品研制、生产、经营、使用单位实施相应质量管理规</w:t>
      </w:r>
      <w:r>
        <w:rPr>
          <w:rFonts w:hint="eastAsia" w:ascii="仿宋_GB2312" w:eastAsia="仿宋_GB2312"/>
          <w:sz w:val="32"/>
          <w:szCs w:val="32"/>
        </w:rPr>
        <w:t>范进行检查、评价并决定是否发给相应认证证书的过程。</w:t>
      </w:r>
      <w:r>
        <w:rPr>
          <w:rFonts w:ascii="仿宋_GB2312" w:eastAsia="仿宋_GB2312"/>
          <w:sz w:val="32"/>
          <w:szCs w:val="32"/>
        </w:rPr>
        <w:t xml:space="preserve"> 药品经营方式，是指药品批发和药品零售。 药品经营范围，是指经药品监督管理部门核准经营药品的品种类别。 药品批发企业，是指将购进的药品销售给药品生产企业、药品经营企业、医疗机构的药品经营企业。 药品零售企业，是指将购进的药品直接销售给消费者的药品经营企业。</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lang w:eastAsia="zh-CN"/>
        </w:rPr>
        <w:t>《中华人民共和国药品管理法》</w:t>
      </w:r>
      <w:r>
        <w:rPr>
          <w:rFonts w:hint="eastAsia" w:ascii="仿宋_GB2312" w:eastAsia="仿宋_GB2312"/>
          <w:sz w:val="32"/>
          <w:szCs w:val="32"/>
        </w:rPr>
        <w:t>第四十一条中“首次在中国销售的药品”，是指国内或者国外药品生产企业第一次在中国销售的药品，包括不同药品生产企业生产的相同品种。</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lang w:eastAsia="zh-CN"/>
        </w:rPr>
        <w:t>《中华人民共和国药品管理法》</w:t>
      </w:r>
      <w:r>
        <w:rPr>
          <w:rFonts w:hint="eastAsia" w:ascii="仿宋_GB2312" w:eastAsia="仿宋_GB2312"/>
          <w:sz w:val="32"/>
          <w:szCs w:val="32"/>
        </w:rPr>
        <w:t>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本条例自</w:t>
      </w:r>
      <w:r>
        <w:rPr>
          <w:rFonts w:ascii="仿宋_GB2312" w:eastAsia="仿宋_GB2312"/>
          <w:sz w:val="32"/>
          <w:szCs w:val="32"/>
        </w:rPr>
        <w:t>2002年9月15日起施行。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DM5ZDk0NDQzNmRlYzU3YzNlM2RkZWMwOWYwN2EifQ=="/>
    <w:docVar w:name="KSO_WPS_MARK_KEY" w:val="a2fdb021-cc52-4799-8958-741aff3d66a2"/>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4826FA"/>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40B3C"/>
    <w:rsid w:val="00D20CB7"/>
    <w:rsid w:val="00E61F17"/>
    <w:rsid w:val="00E96C48"/>
    <w:rsid w:val="00ED241B"/>
    <w:rsid w:val="00EF23F1"/>
    <w:rsid w:val="00F56CE8"/>
    <w:rsid w:val="00F86545"/>
    <w:rsid w:val="00F87E5B"/>
    <w:rsid w:val="00FC4EDF"/>
    <w:rsid w:val="00FD0062"/>
    <w:rsid w:val="3FFF3F0A"/>
    <w:rsid w:val="7867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11447</Words>
  <Characters>11469</Characters>
  <Lines>82</Lines>
  <Paragraphs>23</Paragraphs>
  <TotalTime>245</TotalTime>
  <ScaleCrop>false</ScaleCrop>
  <LinksUpToDate>false</LinksUpToDate>
  <CharactersWithSpaces>11532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2024-01-29T07:57:20Z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3A0A402C9627496EA4E02073603ACC03_13</vt:lpwstr>
  </property>
</Properties>
</file>