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478"/>
        <w:gridCol w:w="1287"/>
        <w:gridCol w:w="1431"/>
        <w:gridCol w:w="858"/>
        <w:gridCol w:w="3741"/>
        <w:gridCol w:w="1307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74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2"/>
                <w:sz w:val="36"/>
                <w:szCs w:val="36"/>
                <w:lang w:val="en" w:eastAsia="zh-CN" w:bidi="ar"/>
              </w:rPr>
              <w:t>国家组织第二批集中带量采购药品阿卡波糖协议期满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kern w:val="2"/>
                <w:sz w:val="36"/>
                <w:szCs w:val="36"/>
                <w:lang w:val="en-US" w:eastAsia="zh-CN" w:bidi="ar"/>
              </w:rPr>
              <w:t>接续询价中选结果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包装价格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30片/盒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12.77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原国采中选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30片/盒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拜耳医药保健有限公司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7.51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原国采中选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60片/盒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湖南千金湘江药业股份有限公司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接续中选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60片/盒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杭州中美华东制药有限公司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接续中选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60片/盒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10.57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接续中选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30片/盒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5.42 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接续中选</w:t>
            </w:r>
          </w:p>
        </w:tc>
      </w:tr>
    </w:tbl>
    <w:p>
      <w:pPr>
        <w:pStyle w:val="2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</w:p>
    <w:p/>
    <w:sectPr>
      <w:pgSz w:w="16838" w:h="11906" w:orient="landscape"/>
      <w:pgMar w:top="1587" w:right="1984" w:bottom="1417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413D5"/>
    <w:rsid w:val="15D41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2022-12-13T08:39:00Z</dcterms:created>
  <dc:creator>彭思</dc:creator>
  <cp:lastModifiedBy>彭思</cp:lastModifiedBy>
  <dcterms:modified xsi:type="dcterms:W3CDTF">2022-12-13T08:39:36Z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