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附件1</w:t>
      </w:r>
    </w:p>
    <w:p>
      <w:pPr>
        <w:pStyle w:val="6"/>
        <w:widowControl/>
        <w:spacing w:before="0" w:beforeAutospacing="0" w:after="0" w:afterAutospacing="0" w:line="592" w:lineRule="exact"/>
        <w:jc w:val="both"/>
        <w:rPr>
          <w:rFonts w:hint="eastAsia" w:ascii="Times New Roman" w:hAnsi="Times New Roman" w:eastAsia="仿宋_GB2312"/>
          <w:kern w:val="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9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疾病诊断相关分组（DRG）付费医疗机构</w:t>
      </w:r>
    </w:p>
    <w:p>
      <w:pPr>
        <w:pStyle w:val="6"/>
        <w:widowControl/>
        <w:spacing w:before="0" w:beforeAutospacing="0" w:after="0" w:afterAutospacing="0" w:line="592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服务管理补充协议</w:t>
      </w:r>
    </w:p>
    <w:p>
      <w:pPr>
        <w:pStyle w:val="6"/>
        <w:widowControl/>
        <w:spacing w:before="0" w:beforeAutospacing="0" w:after="0" w:afterAutospacing="0"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sz w:val="44"/>
          <w:szCs w:val="44"/>
        </w:rPr>
        <w:t>（202  年）</w:t>
      </w:r>
    </w:p>
    <w:p>
      <w:pPr>
        <w:pStyle w:val="6"/>
        <w:widowControl/>
        <w:spacing w:before="0" w:beforeAutospacing="0" w:after="0" w:afterAutospacing="0" w:line="592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（范本）</w:t>
      </w:r>
    </w:p>
    <w:p>
      <w:pPr>
        <w:pStyle w:val="6"/>
        <w:widowControl/>
        <w:spacing w:before="0" w:beforeAutospacing="0" w:after="0" w:afterAutospacing="0" w:line="592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7980"/>
        </w:tabs>
        <w:snapToGrid w:val="0"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u w:val="single"/>
        </w:rPr>
      </w:pPr>
      <w:r>
        <w:rPr>
          <w:rFonts w:eastAsia="黑体"/>
          <w:bCs/>
          <w:color w:val="000000"/>
          <w:sz w:val="32"/>
          <w:szCs w:val="32"/>
        </w:rPr>
        <w:t>甲</w:t>
      </w:r>
      <w:r>
        <w:rPr>
          <w:rFonts w:hint="eastAsia" w:eastAsia="黑体"/>
          <w:bCs/>
          <w:color w:val="000000"/>
          <w:sz w:val="32"/>
          <w:szCs w:val="32"/>
          <w:lang w:eastAsia="zh-CN"/>
        </w:rPr>
        <w:t>　　</w:t>
      </w:r>
      <w:r>
        <w:rPr>
          <w:rFonts w:eastAsia="黑体"/>
          <w:bCs/>
          <w:color w:val="000000"/>
          <w:sz w:val="32"/>
          <w:szCs w:val="32"/>
        </w:rPr>
        <w:t>方：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u w:val="single"/>
        </w:rPr>
      </w:pPr>
      <w:r>
        <w:rPr>
          <w:rFonts w:eastAsia="黑体"/>
          <w:bCs/>
          <w:color w:val="000000"/>
          <w:sz w:val="32"/>
          <w:szCs w:val="32"/>
        </w:rPr>
        <w:t>法定代表人或委托代理人：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u w:val="single"/>
        </w:rPr>
      </w:pPr>
      <w:r>
        <w:rPr>
          <w:rFonts w:eastAsia="黑体"/>
          <w:bCs/>
          <w:color w:val="000000"/>
          <w:sz w:val="32"/>
          <w:szCs w:val="32"/>
        </w:rPr>
        <w:t>地</w:t>
      </w:r>
      <w:r>
        <w:rPr>
          <w:rFonts w:hint="eastAsia" w:eastAsia="黑体"/>
          <w:bCs/>
          <w:color w:val="000000"/>
          <w:sz w:val="32"/>
          <w:szCs w:val="32"/>
          <w:lang w:eastAsia="zh-CN"/>
        </w:rPr>
        <w:t>　　</w:t>
      </w:r>
      <w:r>
        <w:rPr>
          <w:rFonts w:eastAsia="黑体"/>
          <w:bCs/>
          <w:color w:val="000000"/>
          <w:sz w:val="32"/>
          <w:szCs w:val="32"/>
        </w:rPr>
        <w:t>址：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u w:val="single"/>
        </w:rPr>
      </w:pPr>
      <w:r>
        <w:rPr>
          <w:rFonts w:eastAsia="黑体"/>
          <w:bCs/>
          <w:color w:val="000000"/>
          <w:sz w:val="32"/>
          <w:szCs w:val="32"/>
        </w:rPr>
        <w:t>邮政编码：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u w:val="single"/>
        </w:rPr>
      </w:pPr>
      <w:r>
        <w:rPr>
          <w:rFonts w:eastAsia="黑体"/>
          <w:bCs/>
          <w:color w:val="000000"/>
          <w:sz w:val="32"/>
          <w:szCs w:val="32"/>
        </w:rPr>
        <w:t>联系电话：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snapToGrid w:val="0"/>
        <w:spacing w:line="560" w:lineRule="exact"/>
        <w:jc w:val="left"/>
        <w:rPr>
          <w:rFonts w:eastAsia="黑体"/>
          <w:bCs/>
          <w:color w:val="000000"/>
          <w:sz w:val="32"/>
          <w:szCs w:val="32"/>
        </w:rPr>
      </w:pPr>
    </w:p>
    <w:p>
      <w:pPr>
        <w:tabs>
          <w:tab w:val="left" w:pos="7980"/>
        </w:tabs>
        <w:snapToGrid w:val="0"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u w:val="single"/>
        </w:rPr>
      </w:pPr>
      <w:r>
        <w:rPr>
          <w:rFonts w:eastAsia="黑体"/>
          <w:bCs/>
          <w:color w:val="000000"/>
          <w:sz w:val="32"/>
          <w:szCs w:val="32"/>
        </w:rPr>
        <w:t>乙</w:t>
      </w:r>
      <w:r>
        <w:rPr>
          <w:rFonts w:hint="eastAsia" w:eastAsia="黑体"/>
          <w:bCs/>
          <w:color w:val="000000"/>
          <w:sz w:val="32"/>
          <w:szCs w:val="32"/>
          <w:lang w:eastAsia="zh-CN"/>
        </w:rPr>
        <w:t>　　</w:t>
      </w:r>
      <w:r>
        <w:rPr>
          <w:rFonts w:eastAsia="黑体"/>
          <w:bCs/>
          <w:color w:val="000000"/>
          <w:sz w:val="32"/>
          <w:szCs w:val="32"/>
        </w:rPr>
        <w:t>方：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u w:val="single"/>
        </w:rPr>
      </w:pPr>
      <w:r>
        <w:rPr>
          <w:rFonts w:eastAsia="黑体"/>
          <w:bCs/>
          <w:color w:val="000000"/>
          <w:sz w:val="32"/>
          <w:szCs w:val="32"/>
        </w:rPr>
        <w:t>法定代表人或委托代理人：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hint="eastAsia"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统一社会信用代码：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定点医疗机构代码</w:t>
      </w:r>
      <w:r>
        <w:rPr>
          <w:rFonts w:eastAsia="黑体"/>
          <w:bCs/>
          <w:color w:val="000000"/>
          <w:sz w:val="32"/>
          <w:szCs w:val="32"/>
        </w:rPr>
        <w:t>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u w:val="single"/>
        </w:rPr>
      </w:pPr>
      <w:r>
        <w:rPr>
          <w:rFonts w:eastAsia="黑体"/>
          <w:bCs/>
          <w:color w:val="000000"/>
          <w:sz w:val="32"/>
          <w:szCs w:val="32"/>
        </w:rPr>
        <w:t>地</w:t>
      </w:r>
      <w:r>
        <w:rPr>
          <w:rFonts w:hint="eastAsia" w:eastAsia="黑体"/>
          <w:bCs/>
          <w:color w:val="000000"/>
          <w:sz w:val="32"/>
          <w:szCs w:val="32"/>
          <w:lang w:eastAsia="zh-CN"/>
        </w:rPr>
        <w:t>　　</w:t>
      </w:r>
      <w:r>
        <w:rPr>
          <w:rFonts w:eastAsia="黑体"/>
          <w:bCs/>
          <w:color w:val="000000"/>
          <w:sz w:val="32"/>
          <w:szCs w:val="32"/>
        </w:rPr>
        <w:t>址：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u w:val="single"/>
        </w:rPr>
      </w:pPr>
      <w:r>
        <w:rPr>
          <w:rFonts w:eastAsia="黑体"/>
          <w:bCs/>
          <w:color w:val="000000"/>
          <w:sz w:val="32"/>
          <w:szCs w:val="32"/>
        </w:rPr>
        <w:t>邮政编码：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tabs>
          <w:tab w:val="left" w:pos="7980"/>
        </w:tabs>
        <w:snapToGrid w:val="0"/>
        <w:spacing w:line="560" w:lineRule="exact"/>
        <w:jc w:val="left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eastAsia="黑体"/>
          <w:bCs/>
          <w:color w:val="000000"/>
          <w:sz w:val="32"/>
          <w:szCs w:val="32"/>
        </w:rPr>
        <w:t>联系电话：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 w:cs="黑体"/>
          <w:color w:val="000000"/>
          <w:sz w:val="32"/>
          <w:szCs w:val="32"/>
          <w:u w:val="single"/>
        </w:rPr>
        <w:tab/>
      </w:r>
    </w:p>
    <w:p>
      <w:pPr>
        <w:snapToGrid w:val="0"/>
        <w:spacing w:line="592" w:lineRule="exact"/>
        <w:jc w:val="center"/>
        <w:rPr>
          <w:rFonts w:ascii="Times New Roman" w:hAnsi="Times New Roman" w:eastAsia="楷体_GB2312"/>
          <w:bCs/>
          <w:color w:val="000000"/>
          <w:sz w:val="28"/>
          <w:szCs w:val="28"/>
        </w:rPr>
      </w:pPr>
    </w:p>
    <w:p>
      <w:pPr>
        <w:snapToGrid w:val="0"/>
        <w:spacing w:line="500" w:lineRule="exact"/>
        <w:jc w:val="center"/>
        <w:rPr>
          <w:rFonts w:ascii="Times New Roman" w:hAnsi="Times New Roman" w:eastAsia="楷体_GB2312"/>
          <w:bCs/>
          <w:color w:val="000000"/>
          <w:sz w:val="28"/>
          <w:szCs w:val="28"/>
        </w:rPr>
      </w:pPr>
      <w:r>
        <w:rPr>
          <w:rFonts w:ascii="Times New Roman" w:hAnsi="Times New Roman" w:eastAsia="楷体_GB2312"/>
          <w:bCs/>
          <w:color w:val="000000"/>
          <w:sz w:val="28"/>
          <w:szCs w:val="28"/>
        </w:rPr>
        <w:t>湖南省医疗</w:t>
      </w:r>
      <w:r>
        <w:rPr>
          <w:rFonts w:hint="default" w:ascii="Times New Roman" w:hAnsi="Times New Roman" w:eastAsia="楷体_GB2312"/>
          <w:bCs/>
          <w:color w:val="000000"/>
          <w:sz w:val="28"/>
          <w:szCs w:val="28"/>
        </w:rPr>
        <w:t>保障局</w:t>
      </w:r>
      <w:r>
        <w:rPr>
          <w:rFonts w:ascii="Times New Roman" w:hAnsi="Times New Roman" w:eastAsia="楷体_GB2312"/>
          <w:bCs/>
          <w:color w:val="000000"/>
          <w:sz w:val="28"/>
          <w:szCs w:val="28"/>
        </w:rPr>
        <w:t>制</w:t>
      </w:r>
    </w:p>
    <w:p>
      <w:pPr>
        <w:widowControl/>
        <w:spacing w:line="500" w:lineRule="exact"/>
        <w:ind w:firstLine="0" w:firstLineChars="0"/>
        <w:jc w:val="center"/>
        <w:rPr>
          <w:rFonts w:ascii="Times New Roman" w:hAnsi="Times New Roman"/>
          <w:szCs w:val="21"/>
        </w:rPr>
      </w:pPr>
      <w:r>
        <w:rPr>
          <w:rFonts w:hint="default" w:ascii="Times New Roman" w:hAnsi="Times New Roman" w:eastAsia="楷体_GB2312"/>
          <w:bCs/>
          <w:color w:val="000000"/>
          <w:sz w:val="28"/>
          <w:szCs w:val="28"/>
        </w:rPr>
        <w:t xml:space="preserve">202 </w:t>
      </w:r>
      <w:r>
        <w:rPr>
          <w:rFonts w:ascii="Times New Roman" w:hAnsi="Times New Roman" w:eastAsia="楷体_GB2312"/>
          <w:bCs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楷体_GB2312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楷体_GB2312"/>
          <w:bCs/>
          <w:color w:val="000000"/>
          <w:sz w:val="28"/>
          <w:szCs w:val="28"/>
        </w:rPr>
        <w:t>月</w:t>
      </w:r>
    </w:p>
    <w:p>
      <w:pPr>
        <w:pStyle w:val="6"/>
        <w:spacing w:before="0" w:beforeAutospacing="0" w:after="0" w:afterAutospacing="0" w:line="592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为加强和规范长株潭衡地区DRG试点医疗机构管理，切实将DRG支付方式改革工作落到实处，确保参保人员能够享受优质医疗服务，根据《中华人民共和国社会保险法》</w:t>
      </w:r>
      <w:r>
        <w:rPr>
          <w:rFonts w:ascii="Times New Roman" w:hAnsi="Times New Roman" w:eastAsia="仿宋_GB2312"/>
          <w:kern w:val="2"/>
          <w:sz w:val="32"/>
          <w:szCs w:val="32"/>
        </w:rPr>
        <w:t>《湖南省区域DRG付费暂行办法》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《</w:t>
      </w:r>
      <w:r>
        <w:rPr>
          <w:rFonts w:ascii="Times New Roman" w:hAnsi="Times New Roman" w:eastAsia="仿宋_GB2312"/>
          <w:kern w:val="2"/>
          <w:sz w:val="32"/>
          <w:szCs w:val="32"/>
        </w:rPr>
        <w:t>湖南省区域DRG付费医疗保障经办管理规程（试行）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》等法律法规和规章，在已签订的《定点医疗机构医疗服务协议书》（202  年度）的基础上，甲乙双方本着自愿、平等、协商的原则，就DRG医保结算管理有关事宜签订如下补充协议，</w:t>
      </w:r>
    </w:p>
    <w:p>
      <w:pPr>
        <w:spacing w:before="320" w:beforeLines="50" w:after="320" w:afterLines="50" w:line="592" w:lineRule="exact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第一章  总  则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第一条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【基本要求】甲乙双方一旦签订此补充协议，乙方即成为甲方</w:t>
      </w:r>
      <w:r>
        <w:rPr>
          <w:rFonts w:ascii="Times New Roman" w:hAnsi="Times New Roman" w:eastAsia="仿宋_GB2312"/>
          <w:sz w:val="32"/>
          <w:szCs w:val="32"/>
        </w:rPr>
        <w:t>DRG付费管理的定点医疗机构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乙方应当建立健全DRG支付方式改革专班，明确由主要负责人（或法定代表人）对本院DRG支付方式改革工作负主要责任，配备专（兼）职DRG工作管理人员，并建立符合DRG支付方式改革工作要求的医保服务、财务核算、统计分析、质量评价、信息管理等制度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乙方医保结算清单和病案管理人员应具备专业资质且业务熟练。</w:t>
      </w:r>
    </w:p>
    <w:p>
      <w:pPr>
        <w:pStyle w:val="6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第二条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【付费范围】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DRG付费范围包括职工基本医疗保险（以下简称“职工医保”）和城乡居民基本医疗保险（以下简称“居民医保”）中短期住院服务。门诊费用和以下住院费用暂不纳入DRG付费范围：</w:t>
      </w:r>
    </w:p>
    <w:p>
      <w:pPr>
        <w:pStyle w:val="6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（一）生育住院医疗费用；</w:t>
      </w:r>
    </w:p>
    <w:p>
      <w:pPr>
        <w:pStyle w:val="6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（二）慢性精神病、长期康复治疗、安宁疗护以及住院时间超过60天的长期住院等医疗费用；</w:t>
      </w:r>
    </w:p>
    <w:p>
      <w:pPr>
        <w:pStyle w:val="6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（三）经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省级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医保部门同意的其他暂不纳入DRG结算的住院费用。</w:t>
      </w:r>
    </w:p>
    <w:p>
      <w:pPr>
        <w:pStyle w:val="6"/>
        <w:widowControl/>
        <w:spacing w:before="0" w:beforeAutospacing="0" w:after="0" w:afterAutospacing="0" w:line="592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第三条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【培训咨询】甲方应做好对乙方DRG基础知识、结算政策、管理制度、经办流程、系统使用的宣传培训；乙方应参加甲方组织的宣传和培训，并组织院内相关培训，普及DRG支付方式改革知识理念。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第四条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【协商谈判】在DRG付费的分组、预算、支付等相关标准制定中，加强组织管理，建立协商谈判相关的工作机制。协商谈判要充分考虑乙方的利益，甲方应接受乙方的质询，通过充分的讨论和磋商，最终达成统一的意见。</w:t>
      </w:r>
    </w:p>
    <w:p>
      <w:pPr>
        <w:pStyle w:val="6"/>
        <w:widowControl/>
        <w:spacing w:before="320" w:beforeLines="50" w:beforeAutospacing="0" w:after="320" w:afterLines="50" w:afterAutospacing="0" w:line="592" w:lineRule="exact"/>
        <w:jc w:val="center"/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第二章  </w:t>
      </w:r>
      <w:r>
        <w:rPr>
          <w:rFonts w:ascii="Times New Roman" w:hAnsi="Times New Roman" w:eastAsia="黑体"/>
          <w:sz w:val="32"/>
          <w:szCs w:val="32"/>
        </w:rPr>
        <w:t>数据采集和质量管理</w:t>
      </w:r>
    </w:p>
    <w:p>
      <w:pPr>
        <w:pStyle w:val="6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>五</w:t>
      </w:r>
      <w:r>
        <w:rPr>
          <w:rFonts w:ascii="Times New Roman" w:hAnsi="Times New Roman" w:eastAsia="黑体"/>
          <w:sz w:val="32"/>
          <w:szCs w:val="32"/>
          <w:lang w:bidi="ar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【数据采集】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甲方应</w:t>
      </w:r>
      <w:r>
        <w:rPr>
          <w:rFonts w:ascii="Times New Roman" w:hAnsi="Times New Roman" w:eastAsia="仿宋_GB2312"/>
          <w:kern w:val="2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DRG付费要求，</w:t>
      </w:r>
      <w:r>
        <w:rPr>
          <w:rFonts w:ascii="Times New Roman" w:hAnsi="Times New Roman" w:eastAsia="仿宋_GB2312"/>
          <w:kern w:val="2"/>
          <w:sz w:val="32"/>
          <w:szCs w:val="32"/>
        </w:rPr>
        <w:t>做好国家医疗保障信息业务编码标准的贯标应用工作，统一使用医保疾病诊断和手术操作、医疗服务项目、药品、医用耗材等信息业务编码标准；明确数据采集对象、范围和内容，以及其他需要补充采集的数据；指导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乙方</w:t>
      </w:r>
      <w:r>
        <w:rPr>
          <w:rFonts w:ascii="Times New Roman" w:hAnsi="Times New Roman" w:eastAsia="仿宋_GB2312"/>
          <w:kern w:val="2"/>
          <w:sz w:val="32"/>
          <w:szCs w:val="32"/>
        </w:rPr>
        <w:t>按要求及时上传数据，加强数据治理能力建设；对采集的数据进行校验、审查和评价，开展医保结算清单、医保费用明细表等的质量控制工作；开展医保信息系统数据库动态维护、编码映射和有关接口改造等工作。</w:t>
      </w:r>
    </w:p>
    <w:p>
      <w:pPr>
        <w:pStyle w:val="6"/>
        <w:widowControl w:val="0"/>
        <w:spacing w:before="0" w:beforeAutospacing="0" w:after="0" w:afterAutospacing="0" w:line="592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>六</w:t>
      </w:r>
      <w:r>
        <w:rPr>
          <w:rFonts w:ascii="Times New Roman" w:hAnsi="Times New Roman" w:eastAsia="黑体"/>
          <w:sz w:val="32"/>
          <w:szCs w:val="32"/>
          <w:lang w:bidi="ar"/>
        </w:rPr>
        <w:t>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【清单管理】</w:t>
      </w:r>
      <w:r>
        <w:rPr>
          <w:rFonts w:ascii="Times New Roman" w:hAnsi="Times New Roman" w:eastAsia="仿宋_GB2312"/>
          <w:sz w:val="32"/>
          <w:szCs w:val="32"/>
        </w:rPr>
        <w:t>区域内疾病及手术操作编码统一采用国家医保版《医疗保障疾病分类与代码》（ICD-10）和《医疗保障手术及操作分类与代码》（ICD-9-CM-3）。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住院服务的诊疗信息、费用信息</w:t>
      </w:r>
      <w:r>
        <w:rPr>
          <w:rFonts w:hint="eastAsia" w:ascii="Times New Roman" w:hAnsi="Times New Roman" w:eastAsia="仿宋_GB2312"/>
          <w:sz w:val="32"/>
          <w:szCs w:val="32"/>
        </w:rPr>
        <w:t>应</w:t>
      </w:r>
      <w:r>
        <w:rPr>
          <w:rFonts w:ascii="Times New Roman" w:hAnsi="Times New Roman" w:eastAsia="仿宋_GB2312"/>
          <w:sz w:val="32"/>
          <w:szCs w:val="32"/>
        </w:rPr>
        <w:t>严格按照《国家医疗保障局办公室</w:t>
      </w:r>
      <w:r>
        <w:rPr>
          <w:rFonts w:hint="eastAsia" w:ascii="Times New Roman" w:hAnsi="Times New Roman" w:eastAsia="仿宋_GB2312"/>
          <w:sz w:val="32"/>
          <w:szCs w:val="32"/>
        </w:rPr>
        <w:t>关于修订〈医疗保障基金结算清单〉〈医疗保障基金结算清单填写规范〉的通知</w:t>
      </w:r>
      <w:r>
        <w:rPr>
          <w:rFonts w:ascii="Times New Roman" w:hAnsi="Times New Roman" w:eastAsia="仿宋_GB2312"/>
          <w:sz w:val="32"/>
          <w:szCs w:val="32"/>
        </w:rPr>
        <w:t>》（医保办发〔202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34</w:t>
      </w:r>
      <w:r>
        <w:rPr>
          <w:rFonts w:ascii="Times New Roman" w:hAnsi="Times New Roman" w:eastAsia="仿宋_GB2312"/>
          <w:sz w:val="32"/>
          <w:szCs w:val="32"/>
        </w:rPr>
        <w:t>号）填报，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满足DRG分组和付费要求，同时应</w:t>
      </w:r>
      <w:r>
        <w:rPr>
          <w:rFonts w:ascii="Times New Roman" w:hAnsi="Times New Roman" w:eastAsia="仿宋_GB2312"/>
          <w:sz w:val="32"/>
          <w:szCs w:val="32"/>
        </w:rPr>
        <w:t>及时、</w:t>
      </w:r>
      <w:r>
        <w:rPr>
          <w:rFonts w:hint="eastAsia" w:ascii="Times New Roman" w:hAnsi="Times New Roman" w:eastAsia="仿宋_GB2312"/>
          <w:sz w:val="32"/>
          <w:szCs w:val="32"/>
        </w:rPr>
        <w:t>全面、</w:t>
      </w:r>
      <w:r>
        <w:rPr>
          <w:rFonts w:ascii="Times New Roman" w:hAnsi="Times New Roman" w:eastAsia="仿宋_GB2312"/>
          <w:sz w:val="32"/>
          <w:szCs w:val="32"/>
        </w:rPr>
        <w:t>准确上</w:t>
      </w:r>
      <w:r>
        <w:rPr>
          <w:rFonts w:ascii="Times New Roman" w:hAnsi="Times New Roman" w:eastAsia="仿宋_GB2312"/>
          <w:kern w:val="2"/>
          <w:sz w:val="32"/>
          <w:szCs w:val="32"/>
        </w:rPr>
        <w:t>传至医保信息系统，做好数据安全维护工作。</w:t>
      </w:r>
      <w:r>
        <w:rPr>
          <w:rFonts w:hint="eastAsia" w:ascii="Times New Roman" w:hAnsi="Times New Roman" w:eastAsia="仿宋_GB2312"/>
          <w:sz w:val="32"/>
          <w:szCs w:val="32"/>
        </w:rPr>
        <w:t>如国家对上述医保疾病诊断、手术操作、结算清单填写规范以及其他业务编码标准进行调整，及时执行新的技术规范或标准。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第七条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【病案首页管理】</w:t>
      </w:r>
      <w:r>
        <w:rPr>
          <w:rFonts w:hint="eastAsia" w:ascii="Times New Roman" w:hAnsi="Times New Roman" w:eastAsia="仿宋_GB2312"/>
          <w:sz w:val="32"/>
          <w:szCs w:val="32"/>
        </w:rPr>
        <w:t>乙方应</w:t>
      </w:r>
      <w:r>
        <w:rPr>
          <w:rFonts w:ascii="Times New Roman" w:hAnsi="Times New Roman" w:eastAsia="仿宋_GB2312"/>
          <w:color w:val="000000"/>
          <w:sz w:val="32"/>
          <w:szCs w:val="32"/>
        </w:rPr>
        <w:t>切实加强院内病案管理，规范填写病案首页，确保住院病案首页完整度、合格率、准确性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6"/>
        <w:widowControl/>
        <w:spacing w:before="0" w:beforeAutospacing="0" w:after="0" w:afterAutospacing="0" w:line="592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黑体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>八</w:t>
      </w:r>
      <w:r>
        <w:rPr>
          <w:rFonts w:ascii="Times New Roman" w:hAnsi="Times New Roman" w:eastAsia="黑体"/>
          <w:sz w:val="32"/>
          <w:szCs w:val="32"/>
          <w:lang w:bidi="ar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【数据核查】甲方应</w:t>
      </w:r>
      <w:r>
        <w:rPr>
          <w:rFonts w:ascii="Times New Roman" w:hAnsi="Times New Roman" w:eastAsia="仿宋_GB2312"/>
          <w:sz w:val="32"/>
          <w:szCs w:val="32"/>
        </w:rPr>
        <w:t>建立数据质量核查机制，常态化检查采集数据的完整性、规范性，对有问题的数据应及时返回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核对并重传。</w:t>
      </w:r>
      <w:r>
        <w:rPr>
          <w:rFonts w:hint="eastAsia" w:ascii="Times New Roman" w:hAnsi="Times New Roman" w:eastAsia="仿宋_GB2312"/>
          <w:sz w:val="32"/>
          <w:szCs w:val="32"/>
        </w:rPr>
        <w:t>甲方应</w:t>
      </w:r>
      <w:r>
        <w:rPr>
          <w:rFonts w:ascii="Times New Roman" w:hAnsi="Times New Roman" w:eastAsia="仿宋_GB2312"/>
          <w:color w:val="000000"/>
          <w:sz w:val="32"/>
          <w:szCs w:val="32"/>
        </w:rPr>
        <w:t>开展医保结算清单上传情况调度，定期通报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乙方</w:t>
      </w:r>
      <w:r>
        <w:rPr>
          <w:rFonts w:ascii="Times New Roman" w:hAnsi="Times New Roman" w:eastAsia="仿宋_GB2312"/>
          <w:color w:val="000000"/>
          <w:sz w:val="32"/>
          <w:szCs w:val="32"/>
        </w:rPr>
        <w:t>医保结算清单上传情况。</w:t>
      </w:r>
      <w:r>
        <w:rPr>
          <w:rFonts w:ascii="Times New Roman" w:hAnsi="Times New Roman" w:eastAsia="仿宋_GB2312"/>
          <w:sz w:val="32"/>
          <w:szCs w:val="32"/>
        </w:rPr>
        <w:t>加强数据质量评价管理，通过DRG测算、入组率、与诊断不相关的手术病例数，以及超限病例等指标，评估定点医疗机构上传的数据质量，原则上评估</w:t>
      </w:r>
      <w:r>
        <w:rPr>
          <w:rFonts w:hint="eastAsia" w:ascii="Times New Roman" w:hAnsi="Times New Roman" w:eastAsia="仿宋_GB2312"/>
          <w:sz w:val="32"/>
          <w:szCs w:val="32"/>
        </w:rPr>
        <w:t>工作</w:t>
      </w:r>
      <w:r>
        <w:rPr>
          <w:rFonts w:ascii="Times New Roman" w:hAnsi="Times New Roman" w:eastAsia="仿宋_GB2312"/>
          <w:sz w:val="32"/>
          <w:szCs w:val="32"/>
        </w:rPr>
        <w:t>每半年</w:t>
      </w:r>
      <w:r>
        <w:rPr>
          <w:rFonts w:hint="eastAsia" w:ascii="Times New Roman" w:hAnsi="Times New Roman" w:eastAsia="仿宋_GB2312"/>
          <w:sz w:val="32"/>
          <w:szCs w:val="32"/>
        </w:rPr>
        <w:t>开展</w:t>
      </w:r>
      <w:r>
        <w:rPr>
          <w:rFonts w:ascii="Times New Roman" w:hAnsi="Times New Roman" w:eastAsia="仿宋_GB2312"/>
          <w:sz w:val="32"/>
          <w:szCs w:val="32"/>
        </w:rPr>
        <w:t>一次。</w:t>
      </w:r>
    </w:p>
    <w:p>
      <w:pPr>
        <w:spacing w:before="320" w:beforeLines="50" w:after="320" w:afterLines="50" w:line="592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ascii="Times New Roman" w:hAnsi="Times New Roman" w:eastAsia="黑体"/>
          <w:sz w:val="32"/>
          <w:szCs w:val="32"/>
        </w:rPr>
        <w:t>章  预算管理</w:t>
      </w:r>
    </w:p>
    <w:p>
      <w:pPr>
        <w:tabs>
          <w:tab w:val="left" w:pos="1704"/>
        </w:tabs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九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区域DRG付费以市为单位实行总额预算管理，DRG预算总额遵循“以收定支、收支平衡、略有结余”的原则，以医疗保险年度基金收支预算为基础合理确定。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第十条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甲方</w:t>
      </w:r>
      <w:r>
        <w:rPr>
          <w:rFonts w:ascii="Times New Roman" w:hAnsi="Times New Roman" w:eastAsia="仿宋_GB2312"/>
          <w:sz w:val="32"/>
          <w:szCs w:val="32"/>
        </w:rPr>
        <w:t>原则上根据统筹地区上年度DRG实际付费医保基金决算总额和医保基金收入增长率，结合本年度开展DRG付费的</w:t>
      </w:r>
      <w:r>
        <w:rPr>
          <w:rFonts w:hint="eastAsia" w:ascii="Times New Roman" w:hAnsi="Times New Roman" w:eastAsia="仿宋_GB2312"/>
          <w:sz w:val="32"/>
          <w:szCs w:val="32"/>
        </w:rPr>
        <w:t>定点</w:t>
      </w:r>
      <w:r>
        <w:rPr>
          <w:rFonts w:ascii="Times New Roman" w:hAnsi="Times New Roman" w:eastAsia="仿宋_GB2312"/>
          <w:sz w:val="32"/>
          <w:szCs w:val="32"/>
        </w:rPr>
        <w:t>医疗机构规模</w:t>
      </w:r>
      <w:r>
        <w:rPr>
          <w:rFonts w:hint="eastAsia" w:ascii="Times New Roman" w:hAnsi="Times New Roman" w:eastAsia="仿宋_GB2312"/>
          <w:sz w:val="32"/>
          <w:szCs w:val="32"/>
        </w:rPr>
        <w:t>、医保政策调整因素和</w:t>
      </w:r>
      <w:r>
        <w:rPr>
          <w:rFonts w:hint="eastAsia" w:ascii="仿宋_GB2312" w:hAnsi="仿宋_GB2312" w:eastAsia="仿宋_GB2312" w:cs="仿宋_GB2312"/>
          <w:sz w:val="32"/>
          <w:szCs w:val="32"/>
        </w:rPr>
        <w:t>所辖县（市区）预算建议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制定基金预算编制和管理方案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确定本年度DRG预算总额。具体计算公式为：DRG基金预算总额=统筹</w:t>
      </w:r>
      <w:r>
        <w:rPr>
          <w:rFonts w:hint="eastAsia" w:ascii="Times New Roman" w:hAnsi="Times New Roman" w:eastAsia="仿宋_GB2312"/>
          <w:sz w:val="32"/>
          <w:szCs w:val="32"/>
        </w:rPr>
        <w:t>地</w:t>
      </w:r>
      <w:r>
        <w:rPr>
          <w:rFonts w:ascii="Times New Roman" w:hAnsi="Times New Roman" w:eastAsia="仿宋_GB2312"/>
          <w:sz w:val="32"/>
          <w:szCs w:val="32"/>
        </w:rPr>
        <w:t>区上年度DRG医保基金决算总额×（1+医保基金支出增长率）。支出增长率参照基金总收入预算增长比例，结合医保政策调整</w:t>
      </w:r>
      <w:r>
        <w:rPr>
          <w:rFonts w:hint="eastAsia" w:ascii="Times New Roman" w:hAnsi="Times New Roman" w:eastAsia="仿宋_GB2312"/>
          <w:sz w:val="32"/>
          <w:szCs w:val="32"/>
        </w:rPr>
        <w:t>等因素</w:t>
      </w:r>
      <w:r>
        <w:rPr>
          <w:rFonts w:ascii="Times New Roman" w:hAnsi="Times New Roman" w:eastAsia="仿宋_GB2312"/>
          <w:sz w:val="32"/>
          <w:szCs w:val="32"/>
        </w:rPr>
        <w:t>确定。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首年DRG预算总额可在当年度</w:t>
      </w:r>
      <w:r>
        <w:rPr>
          <w:rFonts w:hint="eastAsia" w:ascii="Times New Roman" w:hAnsi="Times New Roman" w:eastAsia="仿宋_GB2312"/>
          <w:sz w:val="32"/>
          <w:szCs w:val="32"/>
        </w:rPr>
        <w:t>基金</w:t>
      </w:r>
      <w:r>
        <w:rPr>
          <w:rFonts w:ascii="Times New Roman" w:hAnsi="Times New Roman" w:eastAsia="仿宋_GB2312"/>
          <w:sz w:val="32"/>
          <w:szCs w:val="32"/>
        </w:rPr>
        <w:t>支出预算基础上，按项目核减，核减内容包括：跨省异地就医和异地就医零星报账费用、门诊支付的统筹基金费用、其它住院支付方式需支付费用和非DRG支付定点医疗机构住院需支付费用等。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第十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一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条  </w:t>
      </w:r>
      <w:r>
        <w:rPr>
          <w:rFonts w:ascii="Times New Roman" w:hAnsi="Times New Roman" w:eastAsia="仿宋_GB2312"/>
          <w:sz w:val="32"/>
          <w:szCs w:val="32"/>
        </w:rPr>
        <w:t>从DRG预算总额中，</w:t>
      </w:r>
      <w:r>
        <w:rPr>
          <w:rFonts w:hint="eastAsia" w:ascii="Times New Roman" w:hAnsi="Times New Roman" w:eastAsia="仿宋_GB2312"/>
          <w:sz w:val="32"/>
          <w:szCs w:val="32"/>
        </w:rPr>
        <w:t>甲方</w:t>
      </w:r>
      <w:r>
        <w:rPr>
          <w:rFonts w:ascii="Times New Roman" w:hAnsi="Times New Roman" w:eastAsia="仿宋_GB2312"/>
          <w:sz w:val="32"/>
          <w:szCs w:val="32"/>
        </w:rPr>
        <w:t>结合实际情况按不高于10%设立风险金。风险金纳入当年可用基金总额计算，主要用于高倍率病例、低倍率病例、不稳定病组病例、</w:t>
      </w:r>
      <w:r>
        <w:rPr>
          <w:rFonts w:hint="eastAsia" w:ascii="Times New Roman" w:hAnsi="Times New Roman" w:eastAsia="仿宋_GB2312"/>
          <w:sz w:val="32"/>
          <w:szCs w:val="32"/>
        </w:rPr>
        <w:t>符合条件的其他</w:t>
      </w:r>
      <w:r>
        <w:rPr>
          <w:rFonts w:ascii="Times New Roman" w:hAnsi="Times New Roman" w:eastAsia="仿宋_GB2312"/>
          <w:sz w:val="32"/>
          <w:szCs w:val="32"/>
        </w:rPr>
        <w:t>特殊病例结算或</w:t>
      </w:r>
      <w:r>
        <w:rPr>
          <w:rFonts w:hint="eastAsia" w:ascii="Times New Roman" w:hAnsi="Times New Roman" w:eastAsia="仿宋_GB2312"/>
          <w:sz w:val="32"/>
          <w:szCs w:val="32"/>
        </w:rPr>
        <w:t>年度清算</w:t>
      </w:r>
      <w:r>
        <w:rPr>
          <w:rFonts w:ascii="Times New Roman" w:hAnsi="Times New Roman" w:eastAsia="仿宋_GB2312"/>
          <w:sz w:val="32"/>
          <w:szCs w:val="32"/>
        </w:rPr>
        <w:t>，以及应对可能存在的基金平衡问题。年度因违约不予支付或追回已支付的</w:t>
      </w:r>
      <w:r>
        <w:rPr>
          <w:rFonts w:hint="eastAsia" w:ascii="Times New Roman" w:hAnsi="Times New Roman" w:eastAsia="仿宋_GB2312"/>
          <w:sz w:val="32"/>
          <w:szCs w:val="32"/>
        </w:rPr>
        <w:t>统筹基金</w:t>
      </w:r>
      <w:r>
        <w:rPr>
          <w:rFonts w:ascii="Times New Roman" w:hAnsi="Times New Roman" w:eastAsia="仿宋_GB2312"/>
          <w:sz w:val="32"/>
          <w:szCs w:val="32"/>
        </w:rPr>
        <w:t>，归入风险金，用于</w:t>
      </w:r>
      <w:r>
        <w:rPr>
          <w:rFonts w:hint="eastAsia" w:ascii="Times New Roman" w:hAnsi="Times New Roman" w:eastAsia="仿宋_GB2312"/>
          <w:sz w:val="32"/>
          <w:szCs w:val="32"/>
        </w:rPr>
        <w:t>年度清算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6"/>
        <w:widowControl/>
        <w:spacing w:before="0" w:beforeAutospacing="0" w:after="0" w:afterAutospacing="0" w:line="592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第十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>二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条  </w:t>
      </w:r>
      <w:r>
        <w:rPr>
          <w:rFonts w:hint="eastAsia" w:ascii="Times New Roman" w:hAnsi="Times New Roman" w:eastAsia="仿宋_GB2312"/>
          <w:sz w:val="32"/>
          <w:szCs w:val="32"/>
        </w:rPr>
        <w:t>甲方</w:t>
      </w:r>
      <w:r>
        <w:rPr>
          <w:rFonts w:ascii="Times New Roman" w:hAnsi="Times New Roman" w:eastAsia="仿宋_GB2312"/>
          <w:sz w:val="32"/>
          <w:szCs w:val="32"/>
        </w:rPr>
        <w:t>年度DRG预算总额应于每年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月底前编制完成，一经确定，原则上不再调整。确因重大政策调整、突发重大疫情等</w:t>
      </w:r>
      <w:r>
        <w:rPr>
          <w:rFonts w:hint="eastAsia" w:ascii="Times New Roman" w:hAnsi="Times New Roman" w:eastAsia="仿宋_GB2312"/>
          <w:sz w:val="32"/>
          <w:szCs w:val="32"/>
        </w:rPr>
        <w:t>原因</w:t>
      </w:r>
      <w:r>
        <w:rPr>
          <w:rFonts w:ascii="Times New Roman" w:hAnsi="Times New Roman" w:eastAsia="仿宋_GB2312"/>
          <w:sz w:val="32"/>
          <w:szCs w:val="32"/>
        </w:rPr>
        <w:t>造成基金支出发生重大变动的，由</w:t>
      </w:r>
      <w:r>
        <w:rPr>
          <w:rFonts w:hint="eastAsia" w:ascii="Times New Roman" w:hAnsi="Times New Roman" w:eastAsia="仿宋_GB2312"/>
          <w:sz w:val="32"/>
          <w:szCs w:val="32"/>
        </w:rPr>
        <w:t>甲方结合实际</w:t>
      </w:r>
      <w:r>
        <w:rPr>
          <w:rFonts w:ascii="Times New Roman" w:hAnsi="Times New Roman" w:eastAsia="仿宋_GB2312"/>
          <w:sz w:val="32"/>
          <w:szCs w:val="32"/>
        </w:rPr>
        <w:t>合理调整。</w:t>
      </w:r>
    </w:p>
    <w:p>
      <w:pPr>
        <w:pStyle w:val="6"/>
        <w:widowControl/>
        <w:spacing w:before="0" w:beforeAutospacing="0" w:after="320" w:afterLines="50" w:afterAutospacing="0" w:line="592" w:lineRule="exact"/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四章  DRG分组管理</w:t>
      </w:r>
    </w:p>
    <w:p>
      <w:pPr>
        <w:pStyle w:val="6"/>
        <w:widowControl/>
        <w:spacing w:before="0" w:beforeAutospacing="0" w:after="0" w:afterAutospacing="0" w:line="580" w:lineRule="exact"/>
        <w:ind w:firstLine="64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第十三条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分组确定】按照《国家医疗保障DRG分组与付费技术规范》和《国家医疗保障DRG（CHS-DRG）分组方案》有关要求，结合本地区医疗实际情况，统一执行统筹地区DRG分组和权重。运行期间，根据国家医疗保障局颁布DRG分组及相关数据新标准，适时组织统一切换。</w:t>
      </w:r>
    </w:p>
    <w:p>
      <w:pPr>
        <w:pStyle w:val="6"/>
        <w:widowControl/>
        <w:spacing w:before="0" w:beforeAutospacing="0" w:after="0" w:afterAutospacing="0" w:line="580" w:lineRule="exact"/>
        <w:ind w:firstLine="64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第十四条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【分组调整】病组分组、基准权重、调整系数原则上每年年底可调整一次。乙方可根据实际情况提出意见，经谈判协商一致，甲方批准后执行。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【清单上传】乙方应在参保患者出院结算之日起7个工作日内完成医保结算清单等数据信息上传及校对工作。</w:t>
      </w:r>
      <w:r>
        <w:rPr>
          <w:rFonts w:ascii="Times New Roman" w:hAnsi="Times New Roman" w:eastAsia="仿宋_GB2312"/>
          <w:color w:val="000000"/>
          <w:sz w:val="32"/>
          <w:szCs w:val="32"/>
        </w:rPr>
        <w:t>允许定点医疗机构在医保结算清单上传之日起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5个工作</w:t>
      </w:r>
      <w:r>
        <w:rPr>
          <w:rFonts w:ascii="Times New Roman" w:hAnsi="Times New Roman" w:eastAsia="仿宋_GB2312"/>
          <w:color w:val="000000"/>
          <w:sz w:val="32"/>
          <w:szCs w:val="32"/>
        </w:rPr>
        <w:t>日内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多次自动撤回修改并重传，但对经办机构已</w:t>
      </w:r>
      <w:r>
        <w:rPr>
          <w:rFonts w:ascii="Times New Roman" w:hAnsi="Times New Roman" w:eastAsia="仿宋_GB2312"/>
          <w:color w:val="000000"/>
          <w:sz w:val="32"/>
          <w:szCs w:val="32"/>
        </w:rPr>
        <w:t>审核不通过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sz w:val="32"/>
          <w:szCs w:val="32"/>
        </w:rPr>
        <w:t>医保结算清单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，只</w:t>
      </w:r>
      <w:r>
        <w:rPr>
          <w:rFonts w:ascii="Times New Roman" w:hAnsi="Times New Roman" w:eastAsia="仿宋_GB2312"/>
          <w:color w:val="000000"/>
          <w:sz w:val="32"/>
          <w:szCs w:val="32"/>
        </w:rPr>
        <w:t>允许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从</w:t>
      </w:r>
      <w:r>
        <w:rPr>
          <w:rFonts w:ascii="Times New Roman" w:hAnsi="Times New Roman" w:eastAsia="仿宋_GB2312"/>
          <w:color w:val="000000"/>
          <w:sz w:val="32"/>
          <w:szCs w:val="32"/>
        </w:rPr>
        <w:t>审核不通过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日起3个工作</w:t>
      </w:r>
      <w:r>
        <w:rPr>
          <w:rFonts w:ascii="Times New Roman" w:hAnsi="Times New Roman" w:eastAsia="仿宋_GB2312"/>
          <w:color w:val="000000"/>
          <w:sz w:val="32"/>
          <w:szCs w:val="32"/>
        </w:rPr>
        <w:t>日内对清单数据进行1次修改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重传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第十六条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【病例入组】</w:t>
      </w:r>
      <w:r>
        <w:rPr>
          <w:rFonts w:hint="eastAsia" w:ascii="Times New Roman" w:hAnsi="Times New Roman" w:eastAsia="仿宋_GB2312"/>
          <w:sz w:val="32"/>
          <w:szCs w:val="32"/>
        </w:rPr>
        <w:t>甲方应</w:t>
      </w:r>
      <w:r>
        <w:rPr>
          <w:rFonts w:ascii="Times New Roman" w:hAnsi="Times New Roman" w:eastAsia="仿宋_GB2312"/>
          <w:sz w:val="32"/>
          <w:szCs w:val="32"/>
        </w:rPr>
        <w:t>及时完成DRG分组前的审核管理，重点包括医保结算清单的完整性、合理性、规范性审核等。</w:t>
      </w:r>
      <w:r>
        <w:rPr>
          <w:rFonts w:hint="eastAsia" w:ascii="Times New Roman" w:hAnsi="Times New Roman" w:eastAsia="仿宋_GB2312"/>
          <w:sz w:val="32"/>
          <w:szCs w:val="32"/>
        </w:rPr>
        <w:t>甲方</w:t>
      </w:r>
      <w:r>
        <w:rPr>
          <w:rFonts w:ascii="Times New Roman" w:hAnsi="Times New Roman" w:eastAsia="仿宋_GB2312"/>
          <w:sz w:val="32"/>
          <w:szCs w:val="32"/>
        </w:rPr>
        <w:t>通过医保业务系统</w:t>
      </w:r>
      <w:r>
        <w:rPr>
          <w:rFonts w:hint="eastAsia" w:ascii="Times New Roman" w:hAnsi="Times New Roman" w:eastAsia="仿宋_GB2312"/>
          <w:sz w:val="32"/>
          <w:szCs w:val="32"/>
        </w:rPr>
        <w:t>及时</w:t>
      </w:r>
      <w:r>
        <w:rPr>
          <w:rFonts w:ascii="Times New Roman" w:hAnsi="Times New Roman" w:eastAsia="仿宋_GB2312"/>
          <w:sz w:val="32"/>
          <w:szCs w:val="32"/>
        </w:rPr>
        <w:t>对规定时间内上传的最后一次医保结算清单信息进行DRG分组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及时完成病例数据入组及入组结果下发工作。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第十七条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【结算前审核】甲方应</w:t>
      </w:r>
      <w:r>
        <w:rPr>
          <w:rFonts w:hint="eastAsia" w:ascii="Times New Roman" w:hAnsi="Times New Roman" w:eastAsia="仿宋_GB2312"/>
          <w:sz w:val="32"/>
          <w:szCs w:val="32"/>
        </w:rPr>
        <w:t>对乙方上月结算的所有</w:t>
      </w:r>
      <w:r>
        <w:rPr>
          <w:rFonts w:ascii="Times New Roman" w:hAnsi="Times New Roman" w:eastAsia="仿宋_GB2312"/>
          <w:sz w:val="32"/>
          <w:szCs w:val="32"/>
        </w:rPr>
        <w:t>住院病例按</w:t>
      </w:r>
      <w:r>
        <w:rPr>
          <w:rFonts w:hint="eastAsia" w:ascii="Times New Roman" w:hAnsi="Times New Roman" w:eastAsia="仿宋_GB2312"/>
          <w:sz w:val="32"/>
          <w:szCs w:val="32"/>
        </w:rPr>
        <w:t>最终有效上传的</w:t>
      </w:r>
      <w:r>
        <w:rPr>
          <w:rFonts w:ascii="Times New Roman" w:hAnsi="Times New Roman" w:eastAsia="仿宋_GB2312"/>
          <w:sz w:val="32"/>
          <w:szCs w:val="32"/>
        </w:rPr>
        <w:t>医保结算清单</w:t>
      </w:r>
      <w:r>
        <w:rPr>
          <w:rFonts w:hint="eastAsia" w:ascii="Times New Roman" w:hAnsi="Times New Roman" w:eastAsia="仿宋_GB2312"/>
          <w:sz w:val="32"/>
          <w:szCs w:val="32"/>
        </w:rPr>
        <w:t>进行</w:t>
      </w:r>
      <w:r>
        <w:rPr>
          <w:rFonts w:ascii="Times New Roman" w:hAnsi="Times New Roman" w:eastAsia="仿宋_GB2312"/>
          <w:sz w:val="32"/>
          <w:szCs w:val="32"/>
        </w:rPr>
        <w:t>分组及结算前审核。</w:t>
      </w:r>
      <w:r>
        <w:rPr>
          <w:rFonts w:ascii="Times New Roman" w:hAnsi="Times New Roman" w:eastAsia="仿宋_GB2312"/>
          <w:sz w:val="32"/>
          <w:szCs w:val="32"/>
          <w:lang w:bidi="ar"/>
        </w:rPr>
        <w:t>结算前审核重点包括疾病标准认定审核、医保结算清单完整性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审核</w:t>
      </w:r>
      <w:r>
        <w:rPr>
          <w:rFonts w:ascii="Times New Roman" w:hAnsi="Times New Roman" w:eastAsia="仿宋_GB2312"/>
          <w:sz w:val="32"/>
          <w:szCs w:val="32"/>
          <w:lang w:bidi="ar"/>
        </w:rPr>
        <w:t>、编码逻辑合理性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审核</w:t>
      </w:r>
      <w:r>
        <w:rPr>
          <w:rFonts w:ascii="Times New Roman" w:hAnsi="Times New Roman" w:eastAsia="仿宋_GB2312"/>
          <w:sz w:val="32"/>
          <w:szCs w:val="32"/>
          <w:lang w:bidi="ar"/>
        </w:rPr>
        <w:t>等</w:t>
      </w:r>
      <w:r>
        <w:rPr>
          <w:rFonts w:ascii="Times New Roman" w:hAnsi="Times New Roman" w:eastAsia="仿宋_GB2312"/>
          <w:sz w:val="32"/>
          <w:szCs w:val="32"/>
        </w:rPr>
        <w:t>，审核结束通过终审标识体现。</w:t>
      </w:r>
    </w:p>
    <w:p>
      <w:pPr>
        <w:spacing w:before="320" w:beforeLines="50" w:after="320" w:afterLines="50" w:line="592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章  审核结算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第十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八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【费用审核】</w:t>
      </w:r>
      <w:r>
        <w:rPr>
          <w:rFonts w:hint="eastAsia" w:ascii="Times New Roman" w:hAnsi="Times New Roman" w:eastAsia="仿宋_GB2312"/>
          <w:sz w:val="32"/>
          <w:szCs w:val="32"/>
        </w:rPr>
        <w:t>甲方</w:t>
      </w:r>
      <w:r>
        <w:rPr>
          <w:rFonts w:ascii="Times New Roman" w:hAnsi="Times New Roman" w:eastAsia="仿宋_GB2312"/>
          <w:sz w:val="32"/>
          <w:szCs w:val="32"/>
        </w:rPr>
        <w:t>要加强事前、事中管理力度，对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申报的DRG付费相关费用，应严格按规定审核、结算、支付，确保医保基金合理使用。</w:t>
      </w:r>
      <w:r>
        <w:rPr>
          <w:rFonts w:hint="eastAsia" w:ascii="Times New Roman" w:hAnsi="Times New Roman" w:eastAsia="仿宋_GB2312"/>
          <w:bCs/>
          <w:kern w:val="10"/>
          <w:sz w:val="32"/>
          <w:szCs w:val="32"/>
        </w:rPr>
        <w:t>甲方可</w:t>
      </w:r>
      <w:r>
        <w:rPr>
          <w:rFonts w:ascii="Times New Roman" w:hAnsi="Times New Roman" w:eastAsia="仿宋_GB2312"/>
          <w:bCs/>
          <w:kern w:val="10"/>
          <w:sz w:val="32"/>
          <w:szCs w:val="32"/>
        </w:rPr>
        <w:t>采取医保智能审核与人工审核相结合的方式进行审核，必要时</w:t>
      </w:r>
      <w:r>
        <w:rPr>
          <w:rFonts w:hint="eastAsia" w:ascii="Times New Roman" w:hAnsi="Times New Roman" w:eastAsia="仿宋_GB2312"/>
          <w:bCs/>
          <w:kern w:val="10"/>
          <w:sz w:val="32"/>
          <w:szCs w:val="32"/>
        </w:rPr>
        <w:t>也</w:t>
      </w:r>
      <w:r>
        <w:rPr>
          <w:rFonts w:ascii="Times New Roman" w:hAnsi="Times New Roman" w:eastAsia="仿宋_GB2312"/>
          <w:kern w:val="10"/>
          <w:sz w:val="32"/>
          <w:szCs w:val="32"/>
        </w:rPr>
        <w:t>可委托符合条件的第三方机构或</w:t>
      </w:r>
      <w:r>
        <w:rPr>
          <w:rFonts w:ascii="Times New Roman" w:hAnsi="Times New Roman" w:eastAsia="仿宋_GB2312"/>
          <w:bCs/>
          <w:kern w:val="10"/>
          <w:sz w:val="32"/>
          <w:szCs w:val="32"/>
        </w:rPr>
        <w:t>聘请第三方专家参与审核。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如发现乙方有界定清楚的违规行为，甲方可直接进行处理；甲方发现违约疑点时，应及时反馈至乙方，乙方应当及时处理，不得影响参保人员结算。</w:t>
      </w:r>
    </w:p>
    <w:p>
      <w:pPr>
        <w:spacing w:line="592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第十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九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</w:t>
      </w:r>
      <w:r>
        <w:rPr>
          <w:rFonts w:ascii="Times New Roman" w:hAnsi="Times New Roman" w:eastAsia="仿宋_GB2312"/>
          <w:sz w:val="32"/>
          <w:szCs w:val="32"/>
        </w:rPr>
        <w:t>年度预付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】</w:t>
      </w:r>
      <w:r>
        <w:rPr>
          <w:rFonts w:ascii="Times New Roman" w:hAnsi="Times New Roman" w:eastAsia="仿宋_GB2312"/>
          <w:sz w:val="32"/>
          <w:szCs w:val="32"/>
        </w:rPr>
        <w:t>实行DRG年度预付。</w:t>
      </w:r>
      <w:r>
        <w:rPr>
          <w:rFonts w:hint="eastAsia" w:ascii="Times New Roman" w:hAnsi="Times New Roman" w:eastAsia="仿宋_GB2312"/>
          <w:sz w:val="32"/>
          <w:szCs w:val="32"/>
        </w:rPr>
        <w:t>甲方</w:t>
      </w:r>
      <w:r>
        <w:rPr>
          <w:rFonts w:ascii="Times New Roman" w:hAnsi="Times New Roman" w:eastAsia="仿宋_GB2312"/>
          <w:sz w:val="32"/>
          <w:szCs w:val="32"/>
        </w:rPr>
        <w:t>以上年度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统筹基金月均支付费用为基准，于每年1月底前向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预付1-2个月费用，预付费用在次年1月份重新核定，差额补退。</w:t>
      </w:r>
    </w:p>
    <w:p>
      <w:pPr>
        <w:spacing w:line="592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二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十条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</w:t>
      </w:r>
      <w:r>
        <w:rPr>
          <w:rFonts w:ascii="Times New Roman" w:hAnsi="Times New Roman" w:eastAsia="仿宋_GB2312"/>
          <w:sz w:val="32"/>
          <w:szCs w:val="32"/>
        </w:rPr>
        <w:t>对账及结算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】</w:t>
      </w:r>
      <w:r>
        <w:rPr>
          <w:rFonts w:hint="eastAsia" w:ascii="Times New Roman" w:hAnsi="Times New Roman" w:eastAsia="仿宋_GB2312"/>
          <w:sz w:val="32"/>
          <w:szCs w:val="32"/>
        </w:rPr>
        <w:t>甲方</w:t>
      </w:r>
      <w:r>
        <w:rPr>
          <w:rFonts w:ascii="Times New Roman" w:hAnsi="Times New Roman" w:eastAsia="仿宋_GB2312"/>
          <w:sz w:val="32"/>
          <w:szCs w:val="32"/>
        </w:rPr>
        <w:t>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对费用所属期的住院数据比对成功、完成病例审核后，于</w:t>
      </w:r>
      <w:r>
        <w:rPr>
          <w:rFonts w:hint="eastAsia" w:ascii="Times New Roman" w:hAnsi="Times New Roman" w:eastAsia="仿宋_GB2312"/>
          <w:sz w:val="32"/>
          <w:szCs w:val="32"/>
        </w:rPr>
        <w:t>30个工作日内</w:t>
      </w:r>
      <w:r>
        <w:rPr>
          <w:rFonts w:ascii="Times New Roman" w:hAnsi="Times New Roman" w:eastAsia="仿宋_GB2312"/>
          <w:sz w:val="32"/>
          <w:szCs w:val="32"/>
        </w:rPr>
        <w:t>拨付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月住院病例结算费用。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应向定点医疗机构提供月度结算查询。</w:t>
      </w:r>
    </w:p>
    <w:p>
      <w:pPr>
        <w:spacing w:line="592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二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十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一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</w:t>
      </w:r>
      <w:r>
        <w:rPr>
          <w:rFonts w:hint="eastAsia" w:ascii="Times New Roman" w:hAnsi="Times New Roman" w:eastAsia="仿宋_GB2312"/>
          <w:sz w:val="32"/>
          <w:szCs w:val="32"/>
        </w:rPr>
        <w:t>结算内容及标准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】</w:t>
      </w:r>
      <w:r>
        <w:rPr>
          <w:rFonts w:ascii="Times New Roman" w:hAnsi="Times New Roman" w:eastAsia="仿宋_GB2312"/>
          <w:sz w:val="32"/>
          <w:szCs w:val="32"/>
        </w:rPr>
        <w:t>月度结算管理具体内容和结算标准。</w:t>
      </w:r>
      <w:r>
        <w:rPr>
          <w:rFonts w:hint="eastAsia" w:ascii="Times New Roman" w:hAnsi="Times New Roman" w:eastAsia="仿宋_GB2312"/>
          <w:sz w:val="32"/>
          <w:szCs w:val="32"/>
        </w:rPr>
        <w:t>甲方</w:t>
      </w:r>
      <w:r>
        <w:rPr>
          <w:rFonts w:ascii="Times New Roman" w:hAnsi="Times New Roman" w:eastAsia="仿宋_GB2312"/>
          <w:sz w:val="32"/>
          <w:szCs w:val="32"/>
        </w:rPr>
        <w:t>根据DRG权重、费率、月度病例数、差异系数进行月度结算。月度结算比例为95%左右，其余</w:t>
      </w:r>
      <w:r>
        <w:rPr>
          <w:rFonts w:hint="eastAsia" w:ascii="Times New Roman" w:hAnsi="Times New Roman" w:eastAsia="仿宋_GB2312"/>
          <w:sz w:val="32"/>
          <w:szCs w:val="32"/>
        </w:rPr>
        <w:t>5%</w:t>
      </w:r>
      <w:r>
        <w:rPr>
          <w:rFonts w:ascii="Times New Roman" w:hAnsi="Times New Roman" w:eastAsia="仿宋_GB2312"/>
          <w:sz w:val="32"/>
          <w:szCs w:val="32"/>
        </w:rPr>
        <w:t>作为质量保证金。</w:t>
      </w:r>
    </w:p>
    <w:p>
      <w:pPr>
        <w:spacing w:line="592" w:lineRule="exact"/>
        <w:ind w:firstLine="619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（一）正常</w:t>
      </w:r>
      <w:r>
        <w:rPr>
          <w:rFonts w:ascii="Times New Roman" w:hAnsi="Times New Roman" w:eastAsia="仿宋_GB2312"/>
          <w:kern w:val="10"/>
          <w:sz w:val="32"/>
          <w:szCs w:val="32"/>
        </w:rPr>
        <w:t>入组病例。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某定点医疗机构</w:t>
      </w:r>
      <w:r>
        <w:rPr>
          <w:rFonts w:ascii="Times New Roman" w:hAnsi="Times New Roman" w:eastAsia="仿宋_GB2312"/>
          <w:sz w:val="32"/>
          <w:szCs w:val="32"/>
        </w:rPr>
        <w:t>月结算金额=∑（各DRG</w:t>
      </w:r>
      <w:r>
        <w:rPr>
          <w:rFonts w:hint="eastAsia" w:ascii="Times New Roman" w:hAnsi="Times New Roman" w:eastAsia="仿宋_GB2312"/>
          <w:sz w:val="32"/>
          <w:szCs w:val="32"/>
        </w:rPr>
        <w:t>组</w:t>
      </w:r>
      <w:r>
        <w:rPr>
          <w:rFonts w:ascii="Times New Roman" w:hAnsi="Times New Roman" w:eastAsia="仿宋_GB2312"/>
          <w:sz w:val="32"/>
          <w:szCs w:val="32"/>
        </w:rPr>
        <w:t>病例支付标准×病例数-出院结算时参保人员应支付费用-其他资金应支付费用）×月度结算比例-审核稽核扣款。</w:t>
      </w:r>
    </w:p>
    <w:p>
      <w:pPr>
        <w:spacing w:line="592" w:lineRule="exact"/>
        <w:ind w:firstLine="619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结算费用包括职工医保</w:t>
      </w:r>
      <w:r>
        <w:rPr>
          <w:rFonts w:hint="eastAsia" w:ascii="Times New Roman" w:hAnsi="Times New Roman" w:eastAsia="仿宋_GB2312"/>
          <w:sz w:val="32"/>
          <w:szCs w:val="32"/>
        </w:rPr>
        <w:t>基金</w:t>
      </w:r>
      <w:r>
        <w:rPr>
          <w:rFonts w:ascii="Times New Roman" w:hAnsi="Times New Roman" w:eastAsia="仿宋_GB2312"/>
          <w:sz w:val="32"/>
          <w:szCs w:val="32"/>
        </w:rPr>
        <w:t>、居民医保基金和</w:t>
      </w:r>
      <w:r>
        <w:rPr>
          <w:rFonts w:hint="default" w:ascii="Times New Roman" w:hAnsi="Times New Roman" w:eastAsia="仿宋_GB2312"/>
          <w:sz w:val="32"/>
          <w:szCs w:val="32"/>
        </w:rPr>
        <w:t>职工大病保险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其他资金应支付费用指居民大病保险、医疗救助、公务员医疗补助等应支付的医疗费用。</w:t>
      </w:r>
    </w:p>
    <w:p>
      <w:pPr>
        <w:spacing w:line="592" w:lineRule="exact"/>
        <w:ind w:firstLine="619"/>
        <w:jc w:val="both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仿宋_GB2312"/>
          <w:kern w:val="10"/>
          <w:sz w:val="32"/>
          <w:szCs w:val="32"/>
        </w:rPr>
        <w:t>（二）高倍率病例。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暂按</w:t>
      </w:r>
      <w:r>
        <w:rPr>
          <w:rFonts w:ascii="Times New Roman" w:hAnsi="Times New Roman" w:eastAsia="仿宋_GB2312"/>
          <w:kern w:val="10"/>
          <w:sz w:val="32"/>
          <w:szCs w:val="32"/>
        </w:rPr>
        <w:t>DRG支付标准结算。</w:t>
      </w:r>
    </w:p>
    <w:p>
      <w:pPr>
        <w:spacing w:line="592" w:lineRule="exact"/>
        <w:ind w:firstLine="619"/>
        <w:jc w:val="both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仿宋_GB2312"/>
          <w:kern w:val="10"/>
          <w:sz w:val="32"/>
          <w:szCs w:val="32"/>
        </w:rPr>
        <w:t>（三）低倍率病例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、</w:t>
      </w:r>
      <w:r>
        <w:rPr>
          <w:rFonts w:ascii="Times New Roman" w:hAnsi="Times New Roman" w:eastAsia="仿宋_GB2312"/>
          <w:kern w:val="10"/>
          <w:sz w:val="32"/>
          <w:szCs w:val="32"/>
        </w:rPr>
        <w:t>住院天数≦2天病例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（日间手术病例除外）</w:t>
      </w:r>
      <w:r>
        <w:rPr>
          <w:rFonts w:ascii="Times New Roman" w:hAnsi="Times New Roman" w:eastAsia="仿宋_GB2312"/>
          <w:kern w:val="10"/>
          <w:sz w:val="32"/>
          <w:szCs w:val="32"/>
        </w:rPr>
        <w:t>。按项目付费结算。</w:t>
      </w:r>
    </w:p>
    <w:p>
      <w:pPr>
        <w:spacing w:line="592" w:lineRule="exact"/>
        <w:ind w:firstLine="619"/>
        <w:jc w:val="both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仿宋_GB2312"/>
          <w:kern w:val="1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四</w:t>
      </w:r>
      <w:r>
        <w:rPr>
          <w:rFonts w:ascii="Times New Roman" w:hAnsi="Times New Roman" w:eastAsia="仿宋_GB2312"/>
          <w:kern w:val="10"/>
          <w:sz w:val="32"/>
          <w:szCs w:val="32"/>
        </w:rPr>
        <w:t>）不稳定组病例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。</w:t>
      </w:r>
      <w:r>
        <w:rPr>
          <w:rFonts w:ascii="Times New Roman" w:hAnsi="Times New Roman" w:eastAsia="仿宋_GB2312"/>
          <w:kern w:val="10"/>
          <w:sz w:val="32"/>
          <w:szCs w:val="32"/>
        </w:rPr>
        <w:t>按项目付费结算。</w:t>
      </w:r>
    </w:p>
    <w:p>
      <w:pPr>
        <w:spacing w:line="592" w:lineRule="exact"/>
        <w:ind w:firstLine="619"/>
        <w:jc w:val="both"/>
        <w:rPr>
          <w:rFonts w:hint="eastAsia"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（五）</w:t>
      </w:r>
      <w:r>
        <w:rPr>
          <w:rFonts w:ascii="Times New Roman" w:hAnsi="Times New Roman" w:eastAsia="仿宋_GB2312"/>
          <w:kern w:val="10"/>
          <w:sz w:val="32"/>
          <w:szCs w:val="32"/>
        </w:rPr>
        <w:t>由于疾病诊断、手术操作编码不规范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、数据错误或不准确</w:t>
      </w:r>
      <w:r>
        <w:rPr>
          <w:rFonts w:ascii="Times New Roman" w:hAnsi="Times New Roman" w:eastAsia="仿宋_GB2312"/>
          <w:kern w:val="10"/>
          <w:sz w:val="32"/>
          <w:szCs w:val="32"/>
        </w:rPr>
        <w:t>等原因导致未能正常入组的病例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（</w:t>
      </w:r>
      <w:r>
        <w:rPr>
          <w:rFonts w:ascii="Times New Roman" w:hAnsi="Times New Roman" w:eastAsia="仿宋_GB2312"/>
          <w:kern w:val="10"/>
          <w:sz w:val="32"/>
          <w:szCs w:val="32"/>
        </w:rPr>
        <w:t>0000组病例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）。按项目付费结算基金支付金额的40%结算。</w:t>
      </w:r>
    </w:p>
    <w:p>
      <w:pPr>
        <w:spacing w:line="592" w:lineRule="exact"/>
        <w:ind w:firstLine="619"/>
        <w:jc w:val="both"/>
        <w:rPr>
          <w:rFonts w:hint="eastAsia"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（六）主要诊断和主要手术操作不匹配</w:t>
      </w:r>
      <w:r>
        <w:rPr>
          <w:rFonts w:ascii="Times New Roman" w:hAnsi="Times New Roman" w:eastAsia="仿宋_GB2312"/>
          <w:kern w:val="10"/>
          <w:sz w:val="32"/>
          <w:szCs w:val="32"/>
        </w:rPr>
        <w:t>的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病例（</w:t>
      </w:r>
      <w:r>
        <w:rPr>
          <w:rFonts w:ascii="Times New Roman" w:hAnsi="Times New Roman" w:eastAsia="仿宋_GB2312"/>
          <w:kern w:val="10"/>
          <w:sz w:val="32"/>
          <w:szCs w:val="32"/>
        </w:rPr>
        <w:t>QY组病例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）。按项目付费结算基金支付金额的50%结算。</w:t>
      </w:r>
    </w:p>
    <w:p>
      <w:pPr>
        <w:spacing w:line="592" w:lineRule="exact"/>
        <w:ind w:firstLine="619"/>
        <w:jc w:val="both"/>
        <w:rPr>
          <w:rFonts w:hint="eastAsia"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（七）乙方</w:t>
      </w:r>
      <w:r>
        <w:rPr>
          <w:rFonts w:ascii="Times New Roman" w:hAnsi="Times New Roman" w:eastAsia="仿宋_GB2312"/>
          <w:kern w:val="10"/>
          <w:sz w:val="32"/>
          <w:szCs w:val="32"/>
        </w:rPr>
        <w:t>未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在</w:t>
      </w:r>
      <w:r>
        <w:rPr>
          <w:rFonts w:ascii="Times New Roman" w:hAnsi="Times New Roman" w:eastAsia="仿宋_GB2312"/>
          <w:kern w:val="10"/>
          <w:sz w:val="32"/>
          <w:szCs w:val="32"/>
        </w:rPr>
        <w:t>规定时间上传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医保结算清单等</w:t>
      </w:r>
      <w:r>
        <w:rPr>
          <w:rFonts w:ascii="Times New Roman" w:hAnsi="Times New Roman" w:eastAsia="仿宋_GB2312"/>
          <w:kern w:val="10"/>
          <w:sz w:val="32"/>
          <w:szCs w:val="32"/>
        </w:rPr>
        <w:t>数据的病例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。归入</w:t>
      </w:r>
      <w:r>
        <w:rPr>
          <w:rFonts w:ascii="Times New Roman" w:hAnsi="Times New Roman" w:eastAsia="仿宋_GB2312"/>
          <w:kern w:val="10"/>
          <w:sz w:val="32"/>
          <w:szCs w:val="32"/>
        </w:rPr>
        <w:t>0000组病例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，按项目付费结算基金支付金额的40%结算。</w:t>
      </w:r>
    </w:p>
    <w:p>
      <w:pPr>
        <w:spacing w:line="592" w:lineRule="exact"/>
        <w:ind w:firstLine="619"/>
        <w:jc w:val="both"/>
        <w:rPr>
          <w:rFonts w:hint="eastAsia"/>
        </w:rPr>
      </w:pPr>
      <w:r>
        <w:rPr>
          <w:rFonts w:ascii="Times New Roman" w:hAnsi="Times New Roman" w:eastAsia="仿宋_GB2312"/>
          <w:kern w:val="1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八</w:t>
      </w:r>
      <w:r>
        <w:rPr>
          <w:rFonts w:ascii="Times New Roman" w:hAnsi="Times New Roman" w:eastAsia="仿宋_GB2312"/>
          <w:kern w:val="10"/>
          <w:sz w:val="32"/>
          <w:szCs w:val="32"/>
        </w:rPr>
        <w:t>）现行DRG分组方案暂未包括的住院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病例。暂</w:t>
      </w:r>
      <w:r>
        <w:rPr>
          <w:rFonts w:hint="eastAsia" w:ascii="Times New Roman" w:hAnsi="Times New Roman" w:eastAsia="仿宋_GB2312"/>
          <w:sz w:val="32"/>
          <w:szCs w:val="32"/>
        </w:rPr>
        <w:t>归入</w:t>
      </w:r>
      <w:r>
        <w:rPr>
          <w:rFonts w:ascii="Times New Roman" w:hAnsi="Times New Roman" w:eastAsia="仿宋_GB2312"/>
          <w:sz w:val="32"/>
          <w:szCs w:val="32"/>
        </w:rPr>
        <w:t>0000组病例</w:t>
      </w:r>
      <w:r>
        <w:rPr>
          <w:rFonts w:hint="eastAsia" w:ascii="Times New Roman" w:hAnsi="Times New Roman" w:eastAsia="仿宋_GB2312"/>
          <w:sz w:val="32"/>
          <w:szCs w:val="32"/>
        </w:rPr>
        <w:t>，按项目付费结算基金支付金额的40%结算。乙方可就相关病例</w:t>
      </w:r>
      <w:r>
        <w:rPr>
          <w:rFonts w:ascii="Times New Roman" w:hAnsi="Times New Roman" w:eastAsia="仿宋_GB2312"/>
          <w:kern w:val="10"/>
          <w:sz w:val="32"/>
          <w:szCs w:val="32"/>
        </w:rPr>
        <w:t>申请纳入特殊病例进行单议核算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。</w:t>
      </w:r>
    </w:p>
    <w:p>
      <w:pPr>
        <w:spacing w:line="592" w:lineRule="exact"/>
        <w:ind w:firstLine="619"/>
        <w:jc w:val="both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仿宋_GB2312"/>
          <w:kern w:val="1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九</w:t>
      </w:r>
      <w:r>
        <w:rPr>
          <w:rFonts w:ascii="Times New Roman" w:hAnsi="Times New Roman" w:eastAsia="仿宋_GB2312"/>
          <w:kern w:val="10"/>
          <w:sz w:val="32"/>
          <w:szCs w:val="32"/>
        </w:rPr>
        <w:t>）经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甲方</w:t>
      </w:r>
      <w:r>
        <w:rPr>
          <w:rFonts w:ascii="Times New Roman" w:hAnsi="Times New Roman" w:eastAsia="仿宋_GB2312"/>
          <w:kern w:val="10"/>
          <w:sz w:val="32"/>
          <w:szCs w:val="32"/>
        </w:rPr>
        <w:t>核准的其他情况，可按项目付费结算。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二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十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二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【特病单议】</w:t>
      </w:r>
      <w:r>
        <w:rPr>
          <w:rFonts w:ascii="Times New Roman" w:hAnsi="Times New Roman" w:eastAsia="仿宋_GB2312"/>
          <w:kern w:val="10"/>
          <w:sz w:val="32"/>
          <w:szCs w:val="32"/>
        </w:rPr>
        <w:t>建立特殊病例单议制度。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乙方</w:t>
      </w:r>
      <w:r>
        <w:rPr>
          <w:rFonts w:ascii="Times New Roman" w:hAnsi="Times New Roman" w:eastAsia="仿宋_GB2312"/>
          <w:kern w:val="10"/>
          <w:sz w:val="32"/>
          <w:szCs w:val="32"/>
        </w:rPr>
        <w:t>可按月向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甲方</w:t>
      </w:r>
      <w:r>
        <w:rPr>
          <w:rFonts w:ascii="Times New Roman" w:hAnsi="Times New Roman" w:eastAsia="仿宋_GB2312"/>
          <w:kern w:val="10"/>
          <w:sz w:val="32"/>
          <w:szCs w:val="32"/>
        </w:rPr>
        <w:t>申请纳入特殊病例进行单议核算，每月申请病例数原则上不得超过当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月该定点医疗机构</w:t>
      </w:r>
      <w:r>
        <w:rPr>
          <w:rFonts w:ascii="Times New Roman" w:hAnsi="Times New Roman" w:eastAsia="仿宋_GB2312"/>
          <w:kern w:val="10"/>
          <w:sz w:val="32"/>
          <w:szCs w:val="32"/>
        </w:rPr>
        <w:t>总出院人次的3%。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甲方应</w:t>
      </w:r>
      <w:r>
        <w:rPr>
          <w:rFonts w:ascii="Times New Roman" w:hAnsi="Times New Roman" w:eastAsia="仿宋_GB2312"/>
          <w:kern w:val="10"/>
          <w:sz w:val="32"/>
          <w:szCs w:val="32"/>
        </w:rPr>
        <w:t>按季度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采取</w:t>
      </w:r>
      <w:r>
        <w:rPr>
          <w:rFonts w:ascii="Times New Roman" w:hAnsi="Times New Roman" w:eastAsia="仿宋_GB2312"/>
          <w:kern w:val="10"/>
          <w:sz w:val="32"/>
          <w:szCs w:val="32"/>
        </w:rPr>
        <w:t>专家论证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等方式进行确定</w:t>
      </w:r>
      <w:r>
        <w:rPr>
          <w:rFonts w:ascii="Times New Roman" w:hAnsi="Times New Roman" w:eastAsia="仿宋_GB2312"/>
          <w:kern w:val="10"/>
          <w:sz w:val="32"/>
          <w:szCs w:val="32"/>
        </w:rPr>
        <w:t>，确定为特殊病例的相关费用按项目结算。单议结算特殊病例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适用范围</w:t>
      </w:r>
      <w:r>
        <w:rPr>
          <w:rFonts w:ascii="Times New Roman" w:hAnsi="Times New Roman" w:eastAsia="仿宋_GB2312"/>
          <w:kern w:val="10"/>
          <w:sz w:val="32"/>
          <w:szCs w:val="32"/>
        </w:rPr>
        <w:t>一般包含：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仿宋_GB2312"/>
          <w:kern w:val="10"/>
          <w:sz w:val="32"/>
          <w:szCs w:val="32"/>
        </w:rPr>
        <w:t>（一）危急症抢救病例或死亡病例。</w:t>
      </w:r>
    </w:p>
    <w:p>
      <w:pPr>
        <w:pStyle w:val="5"/>
        <w:spacing w:line="592" w:lineRule="exact"/>
        <w:ind w:firstLine="640" w:firstLineChars="200"/>
        <w:rPr>
          <w:rFonts w:hint="eastAsia"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（二）住院过程不完整的病例。该类型病例乙方应及时申报纳入特殊病例。</w:t>
      </w:r>
    </w:p>
    <w:p>
      <w:pPr>
        <w:spacing w:line="592" w:lineRule="exact"/>
        <w:ind w:firstLine="640" w:firstLineChars="200"/>
        <w:rPr>
          <w:rFonts w:hint="eastAsia"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仿宋_GB2312"/>
          <w:kern w:val="10"/>
          <w:sz w:val="32"/>
          <w:szCs w:val="32"/>
        </w:rPr>
        <w:t>（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三</w:t>
      </w:r>
      <w:r>
        <w:rPr>
          <w:rFonts w:ascii="Times New Roman" w:hAnsi="Times New Roman" w:eastAsia="仿宋_GB2312"/>
          <w:kern w:val="10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开展</w:t>
      </w:r>
      <w:r>
        <w:rPr>
          <w:rFonts w:ascii="Times New Roman" w:hAnsi="Times New Roman" w:eastAsia="仿宋"/>
          <w:sz w:val="32"/>
          <w:szCs w:val="32"/>
        </w:rPr>
        <w:t>新</w:t>
      </w:r>
      <w:r>
        <w:rPr>
          <w:rFonts w:ascii="Times New Roman" w:hAnsi="Times New Roman" w:eastAsia="仿宋_GB2312"/>
          <w:kern w:val="10"/>
          <w:sz w:val="32"/>
          <w:szCs w:val="32"/>
        </w:rPr>
        <w:t>技术项目病例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。指符合卫生行政部门规定的、统筹地区首次应用临床、在诊疗方法上采用的新型技术，且为应具有明确创新价值和临床使用价值的治疗技术，不含单纯使用新设备仪器、耗材的技术，不含检验检查和在原已开展技术上附加开展的项目等。</w:t>
      </w:r>
    </w:p>
    <w:p>
      <w:pPr>
        <w:pStyle w:val="4"/>
        <w:spacing w:after="0" w:line="592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（四）重点学科相关病例。指具有地区特色、可打造医学较高水平，且经相关职能部门批准确认，需要医保支付扶持建设的重点学科相关病例</w:t>
      </w:r>
      <w:r>
        <w:rPr>
          <w:rFonts w:ascii="Times New Roman" w:hAnsi="Times New Roman" w:eastAsia="仿宋_GB2312"/>
          <w:kern w:val="1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kern w:val="10"/>
          <w:sz w:val="32"/>
          <w:szCs w:val="32"/>
        </w:rPr>
        <w:t>现行DRG分组方案暂未包括的住院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病例，以及</w:t>
      </w:r>
      <w:r>
        <w:rPr>
          <w:rFonts w:ascii="Times New Roman" w:hAnsi="Times New Roman" w:eastAsia="仿宋_GB2312"/>
          <w:b/>
          <w:bCs/>
          <w:sz w:val="32"/>
          <w:szCs w:val="32"/>
        </w:rPr>
        <w:t>第二十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</w:t>
      </w:r>
      <w:r>
        <w:rPr>
          <w:rFonts w:ascii="Times New Roman" w:hAnsi="Times New Roman" w:eastAsia="仿宋_GB2312"/>
          <w:b/>
          <w:bCs/>
          <w:sz w:val="32"/>
          <w:szCs w:val="32"/>
        </w:rPr>
        <w:t>条中</w:t>
      </w:r>
      <w:r>
        <w:rPr>
          <w:rFonts w:hint="eastAsia" w:ascii="Times New Roman" w:hAnsi="Times New Roman" w:eastAsia="仿宋_GB2312"/>
          <w:sz w:val="32"/>
          <w:szCs w:val="32"/>
        </w:rPr>
        <w:t>涉及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其他</w:t>
      </w:r>
      <w:r>
        <w:rPr>
          <w:rFonts w:ascii="Times New Roman" w:hAnsi="Times New Roman" w:eastAsia="仿宋_GB2312"/>
          <w:sz w:val="32"/>
          <w:szCs w:val="32"/>
        </w:rPr>
        <w:t>病例，经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kern w:val="10"/>
          <w:sz w:val="32"/>
          <w:szCs w:val="32"/>
        </w:rPr>
        <w:t>或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甲方</w:t>
      </w:r>
      <w:r>
        <w:rPr>
          <w:rFonts w:ascii="Times New Roman" w:hAnsi="Times New Roman" w:eastAsia="仿宋_GB2312"/>
          <w:kern w:val="10"/>
          <w:sz w:val="32"/>
          <w:szCs w:val="32"/>
        </w:rPr>
        <w:t>提出，可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按程序</w:t>
      </w:r>
      <w:r>
        <w:rPr>
          <w:rFonts w:ascii="Times New Roman" w:hAnsi="Times New Roman" w:eastAsia="仿宋_GB2312"/>
          <w:kern w:val="10"/>
          <w:sz w:val="32"/>
          <w:szCs w:val="32"/>
        </w:rPr>
        <w:t>纳入特殊病例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六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甲方</w:t>
      </w:r>
      <w:r>
        <w:rPr>
          <w:rFonts w:ascii="Times New Roman" w:hAnsi="Times New Roman" w:eastAsia="仿宋_GB2312"/>
          <w:color w:val="000000"/>
          <w:sz w:val="32"/>
          <w:szCs w:val="32"/>
        </w:rPr>
        <w:t>核准的其他情况</w:t>
      </w:r>
      <w:r>
        <w:rPr>
          <w:rFonts w:ascii="Times New Roman" w:hAnsi="Times New Roman" w:eastAsia="仿宋_GB2312"/>
          <w:kern w:val="1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二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十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三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【清算管理】</w:t>
      </w:r>
      <w:r>
        <w:rPr>
          <w:rFonts w:hint="eastAsia" w:ascii="Times New Roman" w:hAnsi="Times New Roman" w:eastAsia="仿宋_GB2312"/>
          <w:sz w:val="32"/>
          <w:szCs w:val="32"/>
        </w:rPr>
        <w:t>年度清算</w:t>
      </w:r>
      <w:r>
        <w:rPr>
          <w:rFonts w:ascii="Times New Roman" w:hAnsi="Times New Roman" w:eastAsia="仿宋_GB2312"/>
          <w:sz w:val="32"/>
          <w:szCs w:val="32"/>
        </w:rPr>
        <w:t>管理。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甲方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根据DRG总额预算、年度总权重、费率、年度基金</w:t>
      </w:r>
      <w:r>
        <w:rPr>
          <w:rFonts w:ascii="Times New Roman" w:hAnsi="Times New Roman" w:eastAsia="仿宋_GB2312"/>
          <w:sz w:val="32"/>
          <w:szCs w:val="32"/>
        </w:rPr>
        <w:t>收入</w:t>
      </w:r>
      <w:r>
        <w:rPr>
          <w:rFonts w:hint="eastAsia" w:ascii="Times New Roman" w:hAnsi="Times New Roman" w:eastAsia="仿宋_GB2312"/>
          <w:sz w:val="32"/>
          <w:szCs w:val="32"/>
        </w:rPr>
        <w:t>、特殊病例支付</w:t>
      </w:r>
      <w:r>
        <w:rPr>
          <w:rFonts w:ascii="Times New Roman" w:hAnsi="Times New Roman" w:eastAsia="仿宋_GB2312"/>
          <w:sz w:val="32"/>
          <w:szCs w:val="32"/>
        </w:rPr>
        <w:t>等进行</w:t>
      </w:r>
      <w:r>
        <w:rPr>
          <w:rFonts w:hint="eastAsia" w:ascii="Times New Roman" w:hAnsi="Times New Roman" w:eastAsia="仿宋_GB2312"/>
          <w:sz w:val="32"/>
          <w:szCs w:val="32"/>
        </w:rPr>
        <w:t>年度清算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年度清算</w:t>
      </w:r>
      <w:r>
        <w:rPr>
          <w:rFonts w:ascii="Times New Roman" w:hAnsi="Times New Roman" w:eastAsia="仿宋_GB2312"/>
          <w:sz w:val="32"/>
          <w:szCs w:val="32"/>
        </w:rPr>
        <w:t>范围为每年1月1日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12月31日期间出院结算病例，原则上于每年3月底前完成上年度DRG</w:t>
      </w:r>
      <w:r>
        <w:rPr>
          <w:rFonts w:hint="eastAsia" w:ascii="Times New Roman" w:hAnsi="Times New Roman" w:eastAsia="仿宋_GB2312"/>
          <w:sz w:val="32"/>
          <w:szCs w:val="32"/>
        </w:rPr>
        <w:t>年度清算</w:t>
      </w:r>
      <w:r>
        <w:rPr>
          <w:rFonts w:ascii="Times New Roman" w:hAnsi="Times New Roman" w:eastAsia="仿宋_GB2312"/>
          <w:sz w:val="32"/>
          <w:szCs w:val="32"/>
        </w:rPr>
        <w:t>工作。</w:t>
      </w:r>
      <w:r>
        <w:rPr>
          <w:rFonts w:hint="eastAsia" w:ascii="Times New Roman" w:hAnsi="Times New Roman" w:eastAsia="仿宋_GB2312"/>
          <w:sz w:val="32"/>
          <w:szCs w:val="32"/>
        </w:rPr>
        <w:t>清算</w:t>
      </w:r>
      <w:r>
        <w:rPr>
          <w:rFonts w:ascii="Times New Roman" w:hAnsi="Times New Roman" w:eastAsia="仿宋_GB2312"/>
          <w:sz w:val="32"/>
          <w:szCs w:val="32"/>
        </w:rPr>
        <w:t>内容包括：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ascii="Times New Roman" w:hAnsi="Times New Roman" w:eastAsia="仿宋_GB2312"/>
          <w:sz w:val="32"/>
          <w:szCs w:val="32"/>
        </w:rPr>
        <w:t>）已实行基础病组基金总额控制的</w:t>
      </w:r>
      <w:r>
        <w:rPr>
          <w:rFonts w:hint="eastAsia" w:ascii="Times New Roman" w:hAnsi="Times New Roman" w:eastAsia="仿宋_GB2312"/>
          <w:sz w:val="32"/>
          <w:szCs w:val="32"/>
        </w:rPr>
        <w:t>统筹地区</w:t>
      </w:r>
      <w:r>
        <w:rPr>
          <w:rFonts w:ascii="Times New Roman" w:hAnsi="Times New Roman" w:eastAsia="仿宋_GB2312"/>
          <w:sz w:val="32"/>
          <w:szCs w:val="32"/>
        </w:rPr>
        <w:t>，年</w:t>
      </w:r>
      <w:r>
        <w:rPr>
          <w:rFonts w:hint="eastAsia" w:ascii="Times New Roman" w:hAnsi="Times New Roman" w:eastAsia="仿宋_GB2312"/>
          <w:sz w:val="32"/>
          <w:szCs w:val="32"/>
        </w:rPr>
        <w:t>度</w:t>
      </w:r>
      <w:r>
        <w:rPr>
          <w:rFonts w:ascii="Times New Roman" w:hAnsi="Times New Roman" w:eastAsia="仿宋_GB2312"/>
          <w:sz w:val="32"/>
          <w:szCs w:val="32"/>
        </w:rPr>
        <w:t>实际</w:t>
      </w:r>
      <w:r>
        <w:rPr>
          <w:rFonts w:hint="eastAsia" w:ascii="Times New Roman" w:hAnsi="Times New Roman" w:eastAsia="仿宋_GB2312"/>
          <w:sz w:val="32"/>
          <w:szCs w:val="32"/>
        </w:rPr>
        <w:t>支付费用</w:t>
      </w:r>
      <w:r>
        <w:rPr>
          <w:rFonts w:ascii="Times New Roman" w:hAnsi="Times New Roman" w:eastAsia="仿宋_GB2312"/>
          <w:sz w:val="32"/>
          <w:szCs w:val="32"/>
        </w:rPr>
        <w:t>超过控制总额时，可</w:t>
      </w: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控制总额</w:t>
      </w:r>
      <w:r>
        <w:rPr>
          <w:rFonts w:hint="eastAsia" w:ascii="Times New Roman" w:hAnsi="Times New Roman" w:eastAsia="仿宋_GB2312"/>
          <w:sz w:val="32"/>
          <w:szCs w:val="32"/>
        </w:rPr>
        <w:t>动态</w:t>
      </w:r>
      <w:r>
        <w:rPr>
          <w:rFonts w:ascii="Times New Roman" w:hAnsi="Times New Roman" w:eastAsia="仿宋_GB2312"/>
          <w:sz w:val="32"/>
          <w:szCs w:val="32"/>
        </w:rPr>
        <w:t>调整</w:t>
      </w:r>
      <w:r>
        <w:rPr>
          <w:rFonts w:hint="eastAsia" w:ascii="Times New Roman" w:hAnsi="Times New Roman" w:eastAsia="仿宋_GB2312"/>
          <w:sz w:val="32"/>
          <w:szCs w:val="32"/>
        </w:rPr>
        <w:t>费率，按重新计算后的</w:t>
      </w:r>
      <w:r>
        <w:rPr>
          <w:rFonts w:ascii="Times New Roman" w:hAnsi="Times New Roman" w:eastAsia="仿宋_GB2312"/>
          <w:sz w:val="32"/>
          <w:szCs w:val="32"/>
        </w:rPr>
        <w:t>支付标准</w:t>
      </w:r>
      <w:r>
        <w:rPr>
          <w:rFonts w:hint="eastAsia" w:ascii="Times New Roman" w:hAnsi="Times New Roman" w:eastAsia="仿宋_GB2312"/>
          <w:sz w:val="32"/>
          <w:szCs w:val="32"/>
        </w:rPr>
        <w:t>进行年度清算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2" w:lineRule="exact"/>
        <w:ind w:firstLine="619"/>
        <w:jc w:val="both"/>
        <w:rPr>
          <w:rFonts w:hint="eastAsia"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kern w:val="10"/>
          <w:sz w:val="32"/>
          <w:szCs w:val="32"/>
        </w:rPr>
        <w:t>高倍率病例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，如乙方年度</w:t>
      </w:r>
      <w:r>
        <w:rPr>
          <w:rFonts w:ascii="Times New Roman" w:hAnsi="Times New Roman" w:eastAsia="仿宋_GB2312"/>
          <w:kern w:val="10"/>
          <w:sz w:val="32"/>
          <w:szCs w:val="32"/>
        </w:rPr>
        <w:t>高倍率病例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小于或等于所有DRG结算病例的5%，则</w:t>
      </w:r>
      <w:r>
        <w:rPr>
          <w:rFonts w:ascii="Times New Roman" w:hAnsi="Times New Roman" w:eastAsia="仿宋_GB2312"/>
          <w:kern w:val="10"/>
          <w:sz w:val="32"/>
          <w:szCs w:val="32"/>
        </w:rPr>
        <w:t>高倍率病例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调整为</w:t>
      </w:r>
      <w:r>
        <w:rPr>
          <w:rFonts w:ascii="Times New Roman" w:hAnsi="Times New Roman" w:eastAsia="仿宋_GB2312"/>
          <w:kern w:val="10"/>
          <w:sz w:val="32"/>
          <w:szCs w:val="32"/>
        </w:rPr>
        <w:t>按项目结算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；如</w:t>
      </w:r>
      <w:r>
        <w:rPr>
          <w:rFonts w:ascii="Times New Roman" w:hAnsi="Times New Roman" w:eastAsia="仿宋_GB2312"/>
          <w:kern w:val="10"/>
          <w:sz w:val="32"/>
          <w:szCs w:val="32"/>
        </w:rPr>
        <w:t>高倍率病例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大于所有DRG结算病例的5%，则按病例住院费用与</w:t>
      </w:r>
      <w:r>
        <w:rPr>
          <w:rFonts w:ascii="Times New Roman" w:hAnsi="Times New Roman" w:eastAsia="仿宋_GB2312"/>
          <w:kern w:val="10"/>
          <w:sz w:val="32"/>
          <w:szCs w:val="32"/>
        </w:rPr>
        <w:t>DRG支付标准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的差额从高到低排序，</w:t>
      </w:r>
      <w:r>
        <w:rPr>
          <w:rFonts w:ascii="Times New Roman" w:hAnsi="Times New Roman" w:eastAsia="仿宋_GB2312"/>
          <w:kern w:val="10"/>
          <w:sz w:val="32"/>
          <w:szCs w:val="32"/>
        </w:rPr>
        <w:t>排序前5%的高倍率病例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调整为</w:t>
      </w:r>
      <w:r>
        <w:rPr>
          <w:rFonts w:ascii="Times New Roman" w:hAnsi="Times New Roman" w:eastAsia="仿宋_GB2312"/>
          <w:kern w:val="10"/>
          <w:sz w:val="32"/>
          <w:szCs w:val="32"/>
        </w:rPr>
        <w:t>按项目结算，前5%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以外的</w:t>
      </w:r>
      <w:r>
        <w:rPr>
          <w:rFonts w:ascii="Times New Roman" w:hAnsi="Times New Roman" w:eastAsia="仿宋_GB2312"/>
          <w:kern w:val="10"/>
          <w:sz w:val="32"/>
          <w:szCs w:val="32"/>
        </w:rPr>
        <w:t>高倍率病例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维持</w:t>
      </w:r>
      <w:r>
        <w:rPr>
          <w:rFonts w:ascii="Times New Roman" w:hAnsi="Times New Roman" w:eastAsia="仿宋_GB2312"/>
          <w:kern w:val="10"/>
          <w:sz w:val="32"/>
          <w:szCs w:val="32"/>
        </w:rPr>
        <w:t>DRG支付标准结算。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）特殊病例单议核算。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甲方</w:t>
      </w:r>
      <w:r>
        <w:rPr>
          <w:rFonts w:ascii="Times New Roman" w:hAnsi="Times New Roman" w:eastAsia="仿宋_GB2312"/>
          <w:color w:val="000000"/>
          <w:sz w:val="32"/>
          <w:szCs w:val="32"/>
        </w:rPr>
        <w:t>核准的其他情况</w:t>
      </w:r>
      <w:r>
        <w:rPr>
          <w:rFonts w:ascii="Times New Roman" w:hAnsi="Times New Roman" w:eastAsia="仿宋_GB2312"/>
          <w:kern w:val="10"/>
          <w:sz w:val="32"/>
          <w:szCs w:val="32"/>
        </w:rPr>
        <w:t>。</w:t>
      </w:r>
    </w:p>
    <w:p>
      <w:pPr>
        <w:pStyle w:val="4"/>
        <w:spacing w:after="0" w:line="592" w:lineRule="exact"/>
        <w:ind w:firstLine="640" w:firstLineChars="20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第二十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四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【风险</w:t>
      </w:r>
      <w:r>
        <w:rPr>
          <w:rFonts w:ascii="Times New Roman" w:hAnsi="Times New Roman" w:eastAsia="仿宋_GB2312"/>
          <w:kern w:val="10"/>
          <w:sz w:val="32"/>
          <w:szCs w:val="32"/>
        </w:rPr>
        <w:t>预警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】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甲方应</w:t>
      </w:r>
      <w:r>
        <w:rPr>
          <w:rFonts w:ascii="Times New Roman" w:hAnsi="Times New Roman" w:eastAsia="仿宋_GB2312"/>
          <w:kern w:val="10"/>
          <w:sz w:val="32"/>
          <w:szCs w:val="32"/>
        </w:rPr>
        <w:t>建立基金风险预警机制，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实行</w:t>
      </w:r>
      <w:r>
        <w:rPr>
          <w:rFonts w:ascii="Times New Roman" w:hAnsi="Times New Roman" w:eastAsia="仿宋_GB2312"/>
          <w:kern w:val="10"/>
          <w:sz w:val="32"/>
          <w:szCs w:val="32"/>
        </w:rPr>
        <w:t>风险共担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，</w:t>
      </w:r>
      <w:r>
        <w:rPr>
          <w:rFonts w:ascii="Times New Roman" w:hAnsi="Times New Roman" w:eastAsia="仿宋_GB2312"/>
          <w:kern w:val="10"/>
          <w:sz w:val="32"/>
          <w:szCs w:val="32"/>
        </w:rPr>
        <w:t>当年基金支出明显超出年度</w:t>
      </w:r>
      <w:r>
        <w:rPr>
          <w:rFonts w:ascii="Times New Roman" w:hAnsi="Times New Roman" w:eastAsia="仿宋_GB2312"/>
          <w:sz w:val="32"/>
          <w:szCs w:val="32"/>
        </w:rPr>
        <w:t>DRG预算总额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、</w:t>
      </w:r>
      <w:r>
        <w:rPr>
          <w:rFonts w:ascii="Times New Roman" w:hAnsi="Times New Roman" w:eastAsia="仿宋_GB2312"/>
          <w:kern w:val="10"/>
          <w:sz w:val="32"/>
          <w:szCs w:val="32"/>
        </w:rPr>
        <w:t>基金收不抵支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时</w:t>
      </w:r>
      <w:r>
        <w:rPr>
          <w:rFonts w:ascii="Times New Roman" w:hAnsi="Times New Roman" w:eastAsia="仿宋_GB2312"/>
          <w:kern w:val="10"/>
          <w:sz w:val="32"/>
          <w:szCs w:val="32"/>
        </w:rPr>
        <w:t>，可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实行当年度浮动</w:t>
      </w:r>
      <w:r>
        <w:rPr>
          <w:rFonts w:ascii="Times New Roman" w:hAnsi="Times New Roman" w:eastAsia="仿宋_GB2312"/>
          <w:kern w:val="10"/>
          <w:sz w:val="32"/>
          <w:szCs w:val="32"/>
        </w:rPr>
        <w:t>费率，</w:t>
      </w:r>
      <w:r>
        <w:rPr>
          <w:rFonts w:hint="eastAsia" w:ascii="Times New Roman" w:hAnsi="Times New Roman" w:eastAsia="仿宋_GB2312"/>
          <w:sz w:val="32"/>
          <w:szCs w:val="32"/>
        </w:rPr>
        <w:t>按重新计算后的</w:t>
      </w:r>
      <w:r>
        <w:rPr>
          <w:rFonts w:ascii="Times New Roman" w:hAnsi="Times New Roman" w:eastAsia="仿宋_GB2312"/>
          <w:sz w:val="32"/>
          <w:szCs w:val="32"/>
        </w:rPr>
        <w:t>支付标准</w:t>
      </w:r>
      <w:r>
        <w:rPr>
          <w:rFonts w:hint="eastAsia" w:ascii="Times New Roman" w:hAnsi="Times New Roman" w:eastAsia="仿宋_GB2312"/>
          <w:sz w:val="32"/>
          <w:szCs w:val="32"/>
        </w:rPr>
        <w:t>进行年度清算</w:t>
      </w:r>
      <w:r>
        <w:rPr>
          <w:rFonts w:ascii="Times New Roman" w:hAnsi="Times New Roman" w:eastAsia="仿宋_GB2312"/>
          <w:kern w:val="10"/>
          <w:sz w:val="32"/>
          <w:szCs w:val="32"/>
        </w:rPr>
        <w:t>。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同时要建立“结余留用”机制，</w:t>
      </w:r>
      <w:r>
        <w:rPr>
          <w:rFonts w:ascii="Times New Roman" w:hAnsi="Times New Roman" w:eastAsia="仿宋_GB2312"/>
          <w:kern w:val="10"/>
          <w:sz w:val="32"/>
          <w:szCs w:val="32"/>
        </w:rPr>
        <w:t>年度DRG</w:t>
      </w:r>
      <w:r>
        <w:rPr>
          <w:rFonts w:ascii="Times New Roman" w:hAnsi="Times New Roman" w:eastAsia="仿宋_GB2312"/>
          <w:sz w:val="32"/>
          <w:szCs w:val="32"/>
        </w:rPr>
        <w:t>预算总额</w:t>
      </w:r>
      <w:r>
        <w:rPr>
          <w:rFonts w:hint="eastAsia" w:ascii="Times New Roman" w:hAnsi="Times New Roman" w:eastAsia="仿宋_GB2312"/>
          <w:sz w:val="32"/>
          <w:szCs w:val="32"/>
        </w:rPr>
        <w:t>出现结余时，可结合结余率情况，分段制定留用比例。</w:t>
      </w:r>
    </w:p>
    <w:p>
      <w:pPr>
        <w:spacing w:line="592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二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>十</w:t>
      </w:r>
      <w:r>
        <w:rPr>
          <w:rFonts w:hint="eastAsia" w:ascii="Times New Roman" w:hAnsi="Times New Roman" w:eastAsia="黑体"/>
          <w:kern w:val="0"/>
          <w:sz w:val="32"/>
          <w:szCs w:val="32"/>
          <w:lang w:bidi="ar"/>
        </w:rPr>
        <w:t>五</w:t>
      </w:r>
      <w:r>
        <w:rPr>
          <w:rFonts w:ascii="Times New Roman" w:hAnsi="Times New Roman" w:eastAsia="黑体"/>
          <w:kern w:val="0"/>
          <w:sz w:val="32"/>
          <w:szCs w:val="32"/>
          <w:lang w:bidi="ar"/>
        </w:rPr>
        <w:t xml:space="preserve">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【异地就医】</w:t>
      </w:r>
      <w:r>
        <w:rPr>
          <w:rFonts w:hint="eastAsia" w:ascii="Times New Roman" w:hAnsi="Times New Roman" w:eastAsia="仿宋_GB2312"/>
          <w:sz w:val="32"/>
          <w:szCs w:val="32"/>
        </w:rPr>
        <w:t>区域内</w:t>
      </w:r>
      <w:r>
        <w:rPr>
          <w:rFonts w:ascii="Times New Roman" w:hAnsi="Times New Roman" w:eastAsia="仿宋_GB2312"/>
          <w:sz w:val="32"/>
          <w:szCs w:val="32"/>
        </w:rPr>
        <w:t>异地就医直接结算纳入就医地DRG付费管理。</w:t>
      </w:r>
    </w:p>
    <w:p>
      <w:pPr>
        <w:pStyle w:val="6"/>
        <w:widowControl/>
        <w:spacing w:before="320" w:beforeLines="50" w:beforeAutospacing="0" w:after="320" w:afterLines="50" w:afterAutospacing="0" w:line="592" w:lineRule="exact"/>
        <w:jc w:val="center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第六章  DRG监督管理</w:t>
      </w:r>
    </w:p>
    <w:p>
      <w:pPr>
        <w:spacing w:line="592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第二十六条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基本要求】甲方应加强DRG医疗监管，按有关规则开展智能审核、人工抽查、专家评审、日常稽核和专项稽核，重点查处分解住院、高套多编高靠编码、转嫁费用、推诿危重患者、违反物价收费等行为，对按项目付费病历重点检查不合理诊疗行为和收费行为。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第二十七条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内部管理及内审】乙方应加强内部科室和医务人员的管理，防止服务不足和过度医疗，保证服务质量和参保人员权益。不得以DRG某个病组亏损为原因推诿拒收病人，不得将超过DRG费用指标控制的医疗费用转嫁给参保人员。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乙方应根据本协议的要求建立院内医疗费用管理制度，建立健全DRG考核评价体系，定期检查医保基金使用情况。对内部科室和医务人员提供的DRG费用定期进行分析审核。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第二十八条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【医保稽核】甲方应采取日常稽核和专项稽核相结合的方式加大稽核力度，</w:t>
      </w:r>
      <w:r>
        <w:rPr>
          <w:rFonts w:ascii="Times New Roman" w:hAnsi="Times New Roman" w:eastAsia="仿宋_GB2312"/>
          <w:kern w:val="10"/>
          <w:sz w:val="32"/>
          <w:szCs w:val="32"/>
        </w:rPr>
        <w:t>稽核工作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也</w:t>
      </w:r>
      <w:r>
        <w:rPr>
          <w:rFonts w:ascii="Times New Roman" w:hAnsi="Times New Roman" w:eastAsia="仿宋_GB2312"/>
          <w:kern w:val="10"/>
          <w:sz w:val="32"/>
          <w:szCs w:val="32"/>
        </w:rPr>
        <w:t>可委托符合条件的第三方机构开展。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乙方对甲方采取的稽核工作应全力配合。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第二十九条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 xml:space="preserve">  【违约处理】甲方</w:t>
      </w:r>
      <w:r>
        <w:rPr>
          <w:rFonts w:hint="eastAsia" w:ascii="仿宋_GB2312" w:eastAsia="仿宋_GB2312"/>
          <w:sz w:val="32"/>
          <w:szCs w:val="32"/>
        </w:rPr>
        <w:t>对乙方实行动态管理，甲方根据乙方违约情节的轻重，要求乙方限期整改，予暂停支付、追回违规费用、要求乙方支付违约金、中止协议、解除协议等违约处理。乙方应支付违约金的，由乙方足额向甲方缴纳。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（注：由各统筹地区重点围绕申报数据不实、高靠分组、推诿患者、分解住院、服务不足等情形制定具体的违约处理办法）</w:t>
      </w:r>
    </w:p>
    <w:p>
      <w:pPr>
        <w:pStyle w:val="4"/>
        <w:spacing w:after="0" w:line="592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第三十条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【考核评价】</w:t>
      </w:r>
      <w:r>
        <w:rPr>
          <w:rFonts w:hint="eastAsia" w:ascii="仿宋_GB2312" w:eastAsia="仿宋_GB2312"/>
          <w:sz w:val="32"/>
          <w:szCs w:val="32"/>
        </w:rPr>
        <w:t>甲方应</w:t>
      </w: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“效率优先、有效引导、客观公正、动态调整、综合应用”的原则</w:t>
      </w:r>
      <w:r>
        <w:rPr>
          <w:rFonts w:hint="eastAsia" w:ascii="Times New Roman" w:hAnsi="Times New Roman" w:eastAsia="仿宋_GB2312"/>
          <w:sz w:val="32"/>
          <w:szCs w:val="32"/>
        </w:rPr>
        <w:t>对乙方进行年度考核。</w:t>
      </w:r>
      <w:r>
        <w:rPr>
          <w:rFonts w:ascii="Times New Roman" w:hAnsi="Times New Roman" w:eastAsia="仿宋_GB2312"/>
          <w:sz w:val="32"/>
          <w:szCs w:val="32"/>
        </w:rPr>
        <w:t>考核评价</w:t>
      </w:r>
      <w:r>
        <w:rPr>
          <w:rFonts w:hint="eastAsia" w:ascii="Times New Roman" w:hAnsi="Times New Roman" w:eastAsia="仿宋_GB2312"/>
          <w:sz w:val="32"/>
          <w:szCs w:val="32"/>
        </w:rPr>
        <w:t>指标</w:t>
      </w:r>
      <w:r>
        <w:rPr>
          <w:rFonts w:ascii="Times New Roman" w:hAnsi="Times New Roman" w:eastAsia="仿宋_GB2312"/>
          <w:sz w:val="32"/>
          <w:szCs w:val="32"/>
        </w:rPr>
        <w:t>主要包括：组织管理和制度建设、病案和结算清单管理、医疗服务能力和效率、医疗行为、医疗质量、费用控制等。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考核评价结果与年终清算和质量保证金返还挂钩。甲方可将</w:t>
      </w:r>
      <w:r>
        <w:rPr>
          <w:rFonts w:ascii="Times New Roman" w:hAnsi="Times New Roman" w:eastAsia="仿宋_GB2312"/>
          <w:sz w:val="32"/>
          <w:szCs w:val="32"/>
        </w:rPr>
        <w:t>年度考核结果以适当方式在定点医疗机构范围内公开</w:t>
      </w:r>
      <w:r>
        <w:rPr>
          <w:rFonts w:hint="eastAsia" w:ascii="Times New Roman" w:hAnsi="Times New Roman" w:eastAsia="仿宋_GB2312"/>
          <w:sz w:val="32"/>
          <w:szCs w:val="32"/>
        </w:rPr>
        <w:t>，并对</w:t>
      </w:r>
      <w:r>
        <w:rPr>
          <w:rFonts w:ascii="Times New Roman" w:hAnsi="Times New Roman" w:eastAsia="仿宋_GB2312"/>
          <w:sz w:val="32"/>
          <w:szCs w:val="32"/>
        </w:rPr>
        <w:t>考核评分较低的定点医疗机构综合采取约谈、警示、通报、责成整改等方式</w:t>
      </w:r>
      <w:r>
        <w:rPr>
          <w:rFonts w:hint="eastAsia" w:ascii="Times New Roman" w:hAnsi="Times New Roman" w:eastAsia="仿宋_GB2312"/>
          <w:sz w:val="32"/>
          <w:szCs w:val="32"/>
        </w:rPr>
        <w:t>干预</w:t>
      </w:r>
      <w:r>
        <w:rPr>
          <w:rFonts w:ascii="Times New Roman" w:hAnsi="Times New Roman" w:eastAsia="仿宋_GB2312"/>
          <w:sz w:val="32"/>
          <w:szCs w:val="32"/>
        </w:rPr>
        <w:t>，并</w:t>
      </w:r>
      <w:r>
        <w:rPr>
          <w:rFonts w:hint="eastAsia" w:ascii="Times New Roman" w:hAnsi="Times New Roman" w:eastAsia="仿宋_GB2312"/>
          <w:sz w:val="32"/>
          <w:szCs w:val="32"/>
        </w:rPr>
        <w:t>将其</w:t>
      </w:r>
      <w:r>
        <w:rPr>
          <w:rFonts w:ascii="Times New Roman" w:hAnsi="Times New Roman" w:eastAsia="仿宋_GB2312"/>
          <w:sz w:val="32"/>
          <w:szCs w:val="32"/>
        </w:rPr>
        <w:t>纳入下一年度重点稽核范围。</w:t>
      </w:r>
    </w:p>
    <w:p>
      <w:pPr>
        <w:spacing w:before="320" w:beforeLines="50" w:after="320" w:afterLines="50" w:line="592" w:lineRule="exact"/>
        <w:ind w:firstLine="0" w:firstLineChars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七</w:t>
      </w:r>
      <w:r>
        <w:rPr>
          <w:rFonts w:ascii="Times New Roman" w:hAnsi="Times New Roman" w:eastAsia="黑体"/>
          <w:sz w:val="32"/>
          <w:szCs w:val="32"/>
        </w:rPr>
        <w:t>章  信息系统建设</w:t>
      </w:r>
    </w:p>
    <w:p>
      <w:pPr>
        <w:pStyle w:val="6"/>
        <w:widowControl/>
        <w:spacing w:before="0" w:beforeAutospacing="0" w:after="0" w:afterAutospacing="0" w:line="592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第三十一条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【硬件要求】甲乙双方硬件平台和网络服务应足够安全稳定。</w:t>
      </w:r>
    </w:p>
    <w:p>
      <w:pPr>
        <w:pStyle w:val="6"/>
        <w:widowControl/>
        <w:spacing w:before="0" w:beforeAutospacing="0" w:after="0" w:afterAutospacing="0" w:line="592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 xml:space="preserve">第三十二条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【系统功能】乙方要全面实现与医保信息系统的上下联通和数据的快速归集。根据DRG分组及付费管理需要，完成医保经办机构业务系统及医疗机构HIS系统升级改造工作。加强住院医保结算清单数据上传质量管理，实现对上传结果的系统校验功能。</w:t>
      </w:r>
    </w:p>
    <w:p>
      <w:pPr>
        <w:pStyle w:val="6"/>
        <w:widowControl/>
        <w:spacing w:before="320" w:beforeLines="50" w:beforeAutospacing="0" w:after="320" w:afterLines="50" w:afterAutospacing="0" w:line="592" w:lineRule="exact"/>
        <w:jc w:val="center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bidi="ar-SA"/>
        </w:rPr>
        <w:t>第八章  争议处理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第三十三条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【处理机制】甲方</w:t>
      </w:r>
      <w:r>
        <w:rPr>
          <w:rFonts w:hint="eastAsia" w:ascii="Times New Roman" w:hAnsi="Times New Roman" w:eastAsia="仿宋_GB2312"/>
          <w:sz w:val="32"/>
          <w:szCs w:val="32"/>
        </w:rPr>
        <w:t>应</w:t>
      </w:r>
      <w:r>
        <w:rPr>
          <w:rFonts w:ascii="Times New Roman" w:hAnsi="Times New Roman" w:eastAsia="仿宋_GB2312"/>
          <w:sz w:val="32"/>
          <w:szCs w:val="32"/>
        </w:rPr>
        <w:t>遵循“公平公正、客观合理、多方参与、及时处理”的原则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建立DRG付费争议处理机制，解决乙方提出的DRG支付领域的争议问题，推进DRG付费工作。</w:t>
      </w:r>
    </w:p>
    <w:p>
      <w:pPr>
        <w:pStyle w:val="6"/>
        <w:widowControl w:val="0"/>
        <w:spacing w:before="0" w:beforeAutospacing="0" w:after="0" w:afterAutospacing="0" w:line="592" w:lineRule="exact"/>
        <w:ind w:firstLine="641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第三十四条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【处理方式】甲方</w:t>
      </w:r>
      <w:r>
        <w:rPr>
          <w:rFonts w:ascii="Times New Roman" w:hAnsi="Times New Roman" w:eastAsia="仿宋_GB2312"/>
          <w:sz w:val="32"/>
          <w:szCs w:val="32"/>
        </w:rPr>
        <w:t>受理争议申诉后，</w:t>
      </w:r>
      <w:r>
        <w:rPr>
          <w:rFonts w:hint="eastAsia" w:ascii="Times New Roman" w:hAnsi="Times New Roman" w:eastAsia="仿宋_GB2312"/>
          <w:sz w:val="32"/>
          <w:szCs w:val="32"/>
        </w:rPr>
        <w:t>应及时建立专家团队或引入第三方机构</w:t>
      </w:r>
      <w:r>
        <w:rPr>
          <w:rFonts w:ascii="Times New Roman" w:hAnsi="Times New Roman" w:eastAsia="仿宋_GB2312"/>
          <w:sz w:val="32"/>
          <w:szCs w:val="32"/>
        </w:rPr>
        <w:t>尽快组织论证</w:t>
      </w:r>
      <w:r>
        <w:rPr>
          <w:rFonts w:hint="eastAsia" w:ascii="Times New Roman" w:hAnsi="Times New Roman" w:eastAsia="仿宋_GB2312"/>
          <w:sz w:val="32"/>
          <w:szCs w:val="32"/>
        </w:rPr>
        <w:t>，进行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公平公正、客观合理</w:t>
      </w:r>
      <w:r>
        <w:rPr>
          <w:rFonts w:hint="eastAsia" w:ascii="Times New Roman" w:hAnsi="Times New Roman" w:eastAsia="仿宋_GB2312"/>
          <w:sz w:val="32"/>
          <w:szCs w:val="32"/>
        </w:rPr>
        <w:t>的评判，</w:t>
      </w:r>
      <w:r>
        <w:rPr>
          <w:rFonts w:ascii="Times New Roman" w:hAnsi="Times New Roman" w:eastAsia="仿宋_GB2312"/>
          <w:sz w:val="32"/>
          <w:szCs w:val="32"/>
        </w:rPr>
        <w:t>有效解决争议问题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6"/>
        <w:widowControl w:val="0"/>
        <w:spacing w:before="0" w:beforeAutospacing="0" w:after="0" w:afterAutospacing="0" w:line="592" w:lineRule="exact"/>
        <w:ind w:firstLine="641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第三十五条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【处理流程】</w:t>
      </w:r>
      <w:r>
        <w:rPr>
          <w:rFonts w:ascii="Times New Roman" w:hAnsi="Times New Roman" w:eastAsia="仿宋_GB2312"/>
          <w:sz w:val="32"/>
          <w:szCs w:val="32"/>
        </w:rPr>
        <w:t>争议处理流程一般应包括：医院申诉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经办受理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组织专家评判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争议处理意见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执行反馈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结案归档等环节。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甲方需建立争议个案常态化讨论制度，组织相关专家进行定期讨论，逐步完善争议处理机制。</w:t>
      </w:r>
    </w:p>
    <w:p>
      <w:pPr>
        <w:pStyle w:val="6"/>
        <w:widowControl/>
        <w:spacing w:before="320" w:beforeLines="50" w:beforeAutospacing="0" w:after="320" w:afterLines="50" w:afterAutospacing="0" w:line="592" w:lineRule="exact"/>
        <w:jc w:val="center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bidi="ar-SA"/>
        </w:rPr>
        <w:t>第九章  附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eastAsia="zh-CN" w:bidi="ar-SA"/>
        </w:rPr>
        <w:t>　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bidi="ar-SA"/>
        </w:rPr>
        <w:t>则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第三十六条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【效力约定】本补充协议是《定点医疗机构医疗服务协议书》（202  年度）的组成部分，本补充协议不影响主协议《定点医疗机构医疗服务协议书》（202  年度）的正常履行，具有同等法律效力。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第三十七条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【协议有效期】本协议有效期自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日起至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　　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日止。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第三十八条  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【协议的生效与备案】本协议一式两份，甲乙双方各持一份，经甲乙双方签字盖章后生效。</w:t>
      </w: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Times New Roman" w:hAnsi="Times New Roman" w:eastAsia="仿宋_GB2312"/>
          <w:b/>
          <w:bCs/>
          <w:color w:val="000000"/>
          <w:kern w:val="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592" w:lineRule="exact"/>
        <w:ind w:firstLine="640"/>
        <w:jc w:val="both"/>
        <w:rPr>
          <w:rFonts w:hint="eastAsia" w:ascii="Times New Roman" w:hAnsi="Times New Roman" w:eastAsia="仿宋_GB2312"/>
          <w:b/>
          <w:bCs/>
          <w:color w:val="000000"/>
          <w:kern w:val="2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92" w:lineRule="exact"/>
        <w:ind w:left="420" w:leftChars="200" w:firstLine="0"/>
        <w:jc w:val="left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甲方（公章）：                 乙方（公章）：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92" w:lineRule="exact"/>
        <w:ind w:left="420" w:leftChars="200" w:firstLine="0"/>
        <w:jc w:val="left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92" w:lineRule="exact"/>
        <w:ind w:left="420" w:leftChars="200" w:firstLine="0"/>
        <w:jc w:val="left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92" w:lineRule="exact"/>
        <w:ind w:left="420" w:leftChars="200" w:firstLine="0"/>
        <w:jc w:val="left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法定代表人（签章）：           法定代表人（签章）：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92" w:lineRule="exact"/>
        <w:ind w:left="420" w:leftChars="200"/>
        <w:jc w:val="left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92" w:lineRule="exact"/>
        <w:ind w:left="420" w:leftChars="200" w:firstLine="960" w:firstLineChars="30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年   月   日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02312"/>
    <w:rsid w:val="7F30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2022-11-22T09:16:00Z</dcterms:created>
  <dc:creator>姚兰</dc:creator>
  <cp:lastModifiedBy>姚兰</cp:lastModifiedBy>
  <dcterms:modified xsi:type="dcterms:W3CDTF">2022-11-22T09:17:31Z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35E1FDC260E04113B6AB64685B544BDB</vt:lpwstr>
  </property>
</Properties>
</file>