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医疗服务价格调整汇总表</w:t>
      </w:r>
    </w:p>
    <w:tbl>
      <w:tblPr>
        <w:tblStyle w:val="7"/>
        <w:tblW w:w="1399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039"/>
        <w:gridCol w:w="3808"/>
        <w:gridCol w:w="1168"/>
        <w:gridCol w:w="1060"/>
        <w:gridCol w:w="911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编</w:t>
            </w:r>
            <w:r>
              <w:rPr>
                <w:rStyle w:val="15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码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项目内涵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除外内容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说</w:t>
            </w:r>
            <w:r>
              <w:rPr>
                <w:rStyle w:val="15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平扫后马上又做增强扫描的加收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0.5T≤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≤1T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＜场强＜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≥1.5T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磁共振增强扫描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0.5T≤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≤1T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＜场强＜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≥1.5T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脑功能成象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磁共振心脏功能检查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磁共振血管成象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（MRA）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磁共振水成象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（MRCP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MRM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MRU）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磁共振波谱分析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（MRS）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氢谱或磷谱分别参照执行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临床操作的磁共振引导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不足半小时按半小时计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线计算机体层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（CT）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螺旋平扫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平扫后马上又做增强扫描的加收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线计算机体层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螺旋增强扫描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线计算机体层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成象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指用于血管、胆囊、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CTVE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、骨三维成象等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仅限螺旋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机以上使用，不再另收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临床操作的螺旋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引导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不足半小时按半小时计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双源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线计算机（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）高级成像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含胶片及冲洗，数据存储介质，增强扫描用高压注射器及其套件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造影剂、麻醉及其药物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冠状动脉成像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直接减影血管成像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全脏器灌注成像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计算机治疗计划系统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（TPS）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指二维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疗程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三维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特定计算机治疗计划系统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指加速器适型三维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、或逆向调强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及优化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疗程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线刀治疗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以及分次治疗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伽玛刀治疗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，指颅内良性、恶性肿瘤和血管疾病的治疗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疗程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不规则野大面积照射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指斗蓬野倒、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Y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野等带切割专用模具的方射野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每照射野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陀螺旋转式钴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-60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立体定向放射治疗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计价部位分为头颈部、胸部、腹部、盆腔、四肢；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同一疗程需要多次治疗的，第二次起，每增加一次治疗加收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600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元，最多加收八次，从第九次起免收；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3.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同一疗程中第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个部位治疗加收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7420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深部热疗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超声或电磁波等热疗参照执行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多弹头射频消融治疗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一次性射频电极包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内生场肿瘤治疗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氩氦靶向治疗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氩氦刀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含体表定位、超冷刀穿刺手术，测温电极置入及拆卸温度监控，氩、氦气体消耗。超冷刀工作状况计算机实时监控，冷冻及加热过程，图文报告。含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及影像定位等。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大功率聚焦全身热疗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低频脉冲电治疗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感应电治疗、神经肌肉电刺激治疗、间动电疗、经皮神经电刺激治疗、功能性电刺激治疗、温热电脉冲治疗、微机功能性电刺激治疗、银棘状刺激疗法（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SSP）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中频脉冲电治疗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中频脉冲电治疗、音频电治疗、干扰电治疗、动态干扰电治疗、立体动态干扰电治疗、调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制中频电治疗、电脑中频电治疗分别参照执行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微波治疗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分米波、厘米波、毫米波、微波组织凝固、体腔治疗分别参照执行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微波肿块切除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脉冲式、交变等不同机型又分低频磁、高频磁及热点磁、强磁场刺激、热磁振分别参照执行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全身立体超磁治疗每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分钟加收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气压治疗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肢体气压治疗、肢体正负压治疗分别参照执行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红细胞叶酸定量检测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样本类型：采集静脉血、签收、处理，加入试剂，水浴、洗涤（反复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次），检测样本，打印结果，发送报告；按规定处理废弃物；接受临床相关咨询。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250101103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血常规（五分类）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血细胞分析（五分类）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250102004-1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血浆胶体渗透压检测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样本采集，测定、上样粘附图版，多媒体分析报告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精子顶体酶活性定量测定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精浆弹性硬蛋白酶定量测定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精浆中性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－葡萄糖苷酶活性测定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精浆锌测定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精浆柠檬酸测定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精子膜凝集素受体定量检测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抗精子抗体混合凝集试验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阴道炎五项联合检测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全自动仪器化学反应法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前列腺小体外泄蛋白（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PSEP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样本类型：尿液。样本采集、签收、处理，加免疫试剂，温育，仪器定量测定，审核结果，录入实验室信息系统或人工登记，发送报告；按规定处理废弃物；接受临床相关咨询。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造血干细胞计数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指荧光显微镜法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流式细胞仪法、例置显微镜法分别加收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骨髓造血祖细胞培养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粒－单系、红细胞系分别参照执行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白血病残留病灶检测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红细胞自身溶血过筛试验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红细胞自身溶血及纠正试验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红细胞孵育渗透脆性试验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微量补体溶血敏感试验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250202015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蛇毒因子溶血试验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红细胞丙酮酸激酶测定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（PK）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血红蛋白电泳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直接抗人球蛋白试验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（Coombs'）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等不同球蛋白、补体成分分别参照执行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每项检测计费一次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血小板相关补体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C3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（PAC3）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指酶免法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流式细胞仪法加收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抗血小板膜糖蛋白自身抗体测定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指酶免法，Ⅱ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Ⅲ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、Ⅰ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b/IX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每项检测计费一次，流式细胞仪法加收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阿司匹林耐量试验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（ATT）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血管性假性血友病因子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（VWF）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抗原测定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血浆血栓烷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（TXB2）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指放免法或酶免法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流式细胞仪法加收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简易凝血活酶生成试验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仪器法加收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血浆因子Ⅷ抑制物定性测定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仪器法加收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血浆因子Ⅷ抑制物定量测定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仪器法加收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活性测定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狼疮抗凝物质检测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血浆组织纤溶酶原活化物活性检测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（t-PAA）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血浆组织纤溶酶原活化物抗原检测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（t-PAAg）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血浆组织纤溶酶原活化物抑制物活性检测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血浆组织纤溶酶原活化物抑制物抗原检测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血浆凝血酶调节蛋白抗原检测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（TMAg）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血浆凝血酶调节蛋白活性检测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（TMA）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血浆凝血酶原片段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1+2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（F1+2）</w:t>
            </w:r>
            <w:r>
              <w:rPr>
                <w:rStyle w:val="18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血浆纤维蛋白肽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Bβ1-42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BP15-42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（FPBβ1-42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BP15-42）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血浆纤溶酶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抗纤溶酶复合物测定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（PAP）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α2-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巨球蛋白测定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指免疫法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单扩法加收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体外血栓形成试验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250203070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红细胞流变特性检测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含红细胞取向、变形、脆性、松弛等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250203071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全血粘度测定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高切、中切、低切分别参照执行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250203072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血浆粘度测定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250203080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血栓弹力图试验（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TEG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凝血常规检查（仪器法）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含血浆凝血酶原时间测定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、活化部分凝血活酶时间测定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（APTT）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、血浆纤维蛋白原测定、凝血酶时间测定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INR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超敏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反应蛋白测定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视黄醇结合蛋白测定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250302010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1,5-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脱水葡萄醇测定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小密低密度脂蛋白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（sdLDL）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250303020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心脏型脂肪酸结合蛋白测定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血脂常规检查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含血清总胆固醇测定、血清甘油三酯测定、血清高密度脂蛋白胆固醇测定、血清低密度脂蛋白胆固醇测定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电解质常规测定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含钾测定、钠测定、氯测定、钙测定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血清总胆汁酸测定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指化学法或比色法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①干化学法加收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；②酶促法加收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血浆氨测定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指酶促法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干化学法加收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甘胆酸（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血清天门冬氨酸氨基转移酶线粒体（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ASTm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）同功酶测定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Ⅳ型胶原蛋白检测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异常凝血酶原（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PIVKA-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Ⅱ）测定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样本采集、项目上机检测、结果质控及最终的报告出具。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肝功能常规检查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含血清总蛋白测定、血清白蛋白测定、血清总胆红素测定、血清直接胆红素测定、血清丙氨酸氨基转移酶测定、血清天门冬氨酸氨基转移酶测定、血清总胆汁酸测定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血清乳酸脱氢酶同工酶电泳分析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缺血修饰白蛋白检测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心肌酶谱常规检查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含血清肌酸激酶测定、血清肌酸激酶－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同工酶活性测定、乳酸脱氢酶测定、血清肌红蛋白测定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尿微量白蛋白测定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mAlb/gCr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比值时应另加尿肌酐测定费用，化学发光法加收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尿转铁蛋白测定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TF/gCr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比值时应另加收尿肌酐测定费用，化学发光法加收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血清胱抑素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（Cystatin 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中性粒细胞明胶酶相关脂质运载蛋白测定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肾功能常规检查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含尿素测定、肌酐测定、血清尿酸测定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血清淀粉酶同工酶电泳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血清抗酒石酸酸性磷酸酶测定（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TRACP5b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髓过氧化物酶测定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全血。样本采集、签收、处理（离心），提取血浆，与标准品及质控品同时检测，进行定量分析，判断并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各类滥用药物筛查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每种药物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血清各类氨基酸测定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同型半胱氨酸检测参照执行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每种氨基酸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血清乙醇测定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尿儿茶酚胺测定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色谱法加收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血浆肾素活性测定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血管紧张素Ⅰ测定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血管紧张素Ⅱ测定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血清双氢睾酮测定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雄烯二酮测定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雌酮测定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血浆前列腺素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84" w:rightChars="-4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酮前列腺素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F1α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胆囊收缩素测定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心纳素测定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环磷酸腺苷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（cAMP）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环磷酸鸟苷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（cGMP）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胃泌素释放肽前体（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ProGRP）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250310062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妊娠相关蛋白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PAPP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250310065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促黄体生成素（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样本类型：血液、尿液。样本采集、签收、处理，定标和质控，检测样本，审核结果，录入实验室信息系统或人工登记，发送报告；按规定处理废弃物；接受临床相关咨询。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250310102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甲状腺功能化学发光法检查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含血清促甲状腺激素测定、血清甲状腺素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（T4）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测定、血清三碘甲状原氨酸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（T3）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测定、血清游离甲状腺素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（FT4）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测定、血清游离三碘甲状原氨酸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（FT3）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NTx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比值时，应加尿肌酐测定费用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尿吡啶酚测定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比值时，应加尿肌酐测定费用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尿脱氧吡啶酚测定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比值时，应加尿肌酐测定费用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型胶原羧基端前肽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（PICP）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骨钙素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端中分子片段测定（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N-MID）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－胶原降解产物测定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总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型胶原氨基端延长肽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（totaIPINP）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淋巴细胞转化试验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淋巴细胞花环试验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红细胞花环试验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自然杀伤淋巴细胞功能试验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抗体依赖性细胞毒性试验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干扰素测定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每类干扰素测定计价一次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抗淋巴细胞抗体试验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轻链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KAPPA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LAMBDA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（K-LC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λ-LC）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免疫球蛋白亚类定量测定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指对免疫球蛋白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亚类（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）的测定。样本类型：血液。样本采集、签收、处理、定标和质控，检测样本，审核结果，录入实验室信息系统或人工登记，发送报告；按规定处理废弃物；接受临床相关咨询。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每个亚类一个计价单位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碱性髓鞘蛋白测定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胎盘生长因子检测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脂蛋白相关磷脂酶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Lp-PLA2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血管内皮生长因子检测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抗核抗体测定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抗组织细胞抗体测定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肝细胞、胃壁细胞、胰岛细胞、肾上腺细胞、骨骼肌、平滑肌等抗体测定分别参照执行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抗胰岛素受体抗体测定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抗鞘磷脂抗体测定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抗白蛋白抗体测定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抗补体抗体测定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抗角蛋白抗体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（AKA）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抗可溶性肝抗原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胰抗原抗体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（SLA/LP）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抗肝肾微粒体抗体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（LKM）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抗环瓜氨酸肽抗体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CCP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β2-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糖蛋白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抗核小体抗体测定（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AnuA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抗核周因子抗体（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APF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抗神经节苷脂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IgG,IgM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血清葡萄糖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磷酸异构酶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（GPI）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抗甲状腺特异过氧化物酶抗体（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Anti-TPO）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甲状腺素结合力（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T-uptake）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性激素结合蛋白（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SHBG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Mi-2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PM-Scl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抗体（抗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PM-1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C1q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抗突变型瓜氨酸波形蛋白（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MCV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可溶性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fms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样酪氨酸激酶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结核感染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细胞检测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用于检测人外周抗全凝血中的结合特异抗原刺激活化效应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细胞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戊型肝炎抗体测定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（Anti-HEV）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风疹病毒抗体测定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巨细胞病毒抗体测定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单纯疱疹病毒抗体测定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EBV-CA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EBV-EA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EBNA（EBVIgG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EBV-EAIgG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EBNA-G）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呼吸道合胞病毒抗体测定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呼吸道合胞病毒抗原测定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副流感病毒抗体测定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天疱疮抗体测定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水痘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带状疱疹病毒抗体测定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腺病毒抗体测定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人轮状病毒抗原测定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  <w:t>诺如病毒抗原测定参照执行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狂犬病毒抗体测定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指凝集法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病毒血清学试验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脊髓灰质炎病毒、柯萨奇病毒、流行性乙型脑炎病毒、流行性腮腺炎病毒、麻疹病毒分别参照执行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嗜异性凝集试验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细菌抗体测定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指各种免疫学方法，结核杆菌、破伤风杆菌、百日咳杆菌、军团菌、幽门螺杆菌分别参照执行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野兔热血清学试验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念珠菌病血清学试验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丙型肝炎病毒（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HCV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）基因分型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乙型肝炎病毒（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HBV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）基因分型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肺炎衣原体抗体检测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碳尿素呼气试验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幽门螺杆菌粪便抗原检查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结核多种抗原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蛋白芯片法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巨细胞病毒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（CMV）PP65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丙型肝炎病毒核心抗原检测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指酶免法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HCV-RNA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病毒核酸定量检测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高敏实时荧光定量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，灵敏度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25IU/ml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，常温裂解磁珠法提取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病毒载量内标定量法加收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HBV-DNA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病毒核酸定量检测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高敏实时荧光定量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，灵敏度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10IU/ml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，常温裂解磁珠法提取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病毒载量内标定量法加收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呼吸道病毒七种抗原测定测试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呼吸道分泌物的合胞病毒、腺病毒、流感病毒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、流感病毒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及副流感病毒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免疫荧光法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250403090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胃泌素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-17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乙肝三对检查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含乙型肝炎表面抗原测定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（HBsAg）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、乙型肝炎表面抗体测定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（Anti-HBs）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（HBeAg）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（Anti-HBe）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、乙型肝炎核心抗体测定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、乙型肝炎核心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（Anti-HBcIgM）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副蛋白免疫学检查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鳞状细胞癌相关抗原测定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（SCC）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恶性肿瘤特异生长因子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（TSGF）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型胶原吡啶交联终肽测定（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ICTP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尿核基质蛋白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22（NMP22）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样本类型：血液或尿液。样本采集、签收、处理，加免疫试剂，预温，检测，质控，审核结果，录入实验室信息系统或人工登记，发送报告；按规定处理废弃物；接受临床相关咨询。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lang w:val="en-US" w:eastAsia="zh-CN" w:bidi="ar"/>
              </w:rPr>
              <w:t>血清胃蛋白酶原（PG）Ⅰ测定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指酶标法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非小细胞肺癌相关抗原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21-1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HER-2/neu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-63" w:rightChars="-30"/>
              <w:jc w:val="left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人附睾分泌蛋白（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HE4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肿瘤标志物筛查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（蛋白芯片法）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癌胚抗原测定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（CEA）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、甲胎蛋白测定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（AFP）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、糖类抗原测定（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项）、血清铁蛋白测定、血清人绒毛膜促性腺激素测定、总前列腺特异性抗原测定（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）、游离前列腺特异性抗原测定（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FPSA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）、神经元特异性烯醇化酶测定（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NSE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）、血清生长激素测定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250404102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血清肿瘤相关物质综合筛查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AFP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CEA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CA125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CA199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CA153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CA50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PSA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、唾液酸、粘蛋白、转铁蛋白、铜蓝蛋白、羟脯氨酸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250404104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热休克蛋白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90α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总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吸入物变应原筛查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食入物变应原筛查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特殊变应原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多价变应原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各种免疫学方法，混合虫螨、混合霉菌、多价动物毛等分别参照执行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专项变应原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单价变应原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各种免疫学方法，牛奶、蛋清等分别参照执行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嗜酸细胞阳离子蛋白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（ECP）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衣原体培养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每个取材部位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支原体检查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每种支原体检查收费一次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细菌性阴道病唾液酸酶测定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真菌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葡聚糖检测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真菌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肽聚糖检测参照执行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乙型肝炎病毒基因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YMDD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变异测定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YIDD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变异测定参照执行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幽门螺杆菌抗体检测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指金标法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分型检测加收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自动细胞离心涂片抗酸染色镜检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标本消化灭活、自动离心基膜吸附细菌、抗酸染色、多媒体分析报告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半乳甘露聚糖检测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样本类型：各种体液。样本采集，样本签收，标本预处理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适用时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，检测半乳甘露聚糖，人工判读结果。审核结果，录入实验室信息系统或人工登记，发送报告；实验室消毒，按规定处理废弃物；接受临床相关咨询。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250502008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抗生素最小抑／杀菌浓度测定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每种药物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超广谱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－内酰胺酶试验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耐万古霉素基因试验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试验分别参照执行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每种基因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探针技术查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meeA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梅毒荧光抗体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FTA—ABS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族链球菌检测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样本类型：分离株。取标本或新鲜菌落分别与试剂盒内试剂作用，观察结果，人工判读结果。审核结果，录入实验室信息系统或人工登记，发送报告；实验室消毒，按规定处理废弃物；接受临床相关咨询。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族链球菌检测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样本类型：分离株。取标本或新鲜菌落分别与试剂盒内试剂作用，观察结果，人工判读结果。审核结果，录入实验室信息系统或人工登记，发送报告；实验室消毒，按规定处理废弃物；接受临床相关咨询。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外周血细胞染色体检查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脆性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血高分辨染色体检查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脐血染色体检查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进行性肌营养不良基因分析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肝豆状核变性基因分析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综合症基因诊断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唐氏综合症筛查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性别基因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（SRY）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脱氧核糖核酸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（DNA）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倍体分析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周期分析、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异倍体测定、细胞凋亡测定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各种标本分别参照执行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培养细胞的染色体分析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各种标本分别参照执行；含细胞培养和染色体分析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白血病融合基因分型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指实时荧光定量核酸扩增法。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BCR-ABL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AML1-ETO/MTG8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PML-RARα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TEL-AML1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MLL-ENL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PBX-E2A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-42" w:rightChars="-2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CYP2D6*10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CYP2C9*3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ADRB1（1165G&gt;C）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AGTR1（1166A&gt;C）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 xml:space="preserve"> ACE（I/D）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提取，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扩增，芯片扫描，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CYP2D6*10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CYP2C9*3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ADRB1（1165G&gt;C）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AGTR1（1166A&gt;C）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ACE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I/D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基因表达水平对肿瘤预后的判断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样本类型：组织。对组织标本进行相应前处理，提取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，加入到包括有配制好试剂的反应管中，与阴、阳性对照同时经扩增仪进行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的体外扩增并进行标记，然后将变性的扩增产物与配制好的芯片杂交液混合，加入到芯片上进行杂交，杂交完毕后将芯片取出，进行清洗和离心甩干，用芯片扫描仪进行检测，根据基因表达量，用软件报告肿瘤预后的风险结果，审核检验结果，发出报告，检测后标本留验及无害化处理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芯片上作为判读标准的全部基因作为一个计价单位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基因表达水平对肿瘤药物敏感性的判断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样本类型：组织。对组织标本进行相应前处理，提取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，加入到包括有配制好试剂的反应管中，与阴、阳性对照同时经扩增仪进行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的体外扩增并进行标记，然后将变性的扩增产物与配制好的芯片杂交液混合，加入到芯片上进行杂交，杂交完毕后将芯片取出，进行清洗和离心甩干，用芯片扫描仪进行检测，根据基因表达量，用软件报告肿瘤预后的风险结果，审核检验结果，发出报告，检测后标本留验及无害化处理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芯片上作为判读标准的全部基因作为一个计价单位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单基因遗传病基因突变检查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可检测线粒体基因、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地中海贫血基因、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地中海贫血基因、苯丙酮尿症基因等。样本类型：各种标本。样本采集、签收、处理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据标本类型不同进行相应的前处理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，提取基因组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每个位点为一个计价单位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染色体荧光原位杂交分析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包括外周血细胞、培养细胞、羊水细胞、组织细胞等。样本类型：各种标本。样本采集、签收、细胞培养，制片，变性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标本变性、探针变性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，探针与样本或质控品、对照等杂交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杂交、洗涤、复染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，图像分析，判断并审核结果，录入实验室信息系统或人工登记，发送报告；按规定处理废弃物；接受临床相关咨询。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羊水穿刺产前诊断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染色体核型分析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包括外周血细胞染色体等。样本类型：各种标本。样本采集、签收、处理，经培养、收获、制片、染片等步骤，分析染色体核型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血型其他抗原鉴定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血型的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抗原鉴定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每个抗原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特殊血型抗原鉴定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以下特殊血型抗原鉴定：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Lewis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MNSs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Lutheran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Kell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Duffy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Kidd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Diego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Auberger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Sid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Colton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Yt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Dombrock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Vel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Scianna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Gerbich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Wright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Stoltzfus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每个抗原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血型单特异性抗体鉴定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以常规鉴定的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种谱红细胞为基数，如需增加其他谱红细胞时加收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血型抗体特异性鉴定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吸收试验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血型抗体特异性鉴定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放散试验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血型抗体效价测定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每个抗体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红细胞系统血型抗体致新生儿溶血病检测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ABO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血型鉴定、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血型鉴定、直接抗人球蛋白试验、间接抗人球蛋白试验、放散实验。指抗人球蛋白法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微柱法加收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淋巴细胞毒试验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一般试验和快速试验分别参照执行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群体反应抗体检测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HLA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（高分辨率检测）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包括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DQB1*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DRB1*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分型。样本类型：血液。指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HLA-A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位点高分辨基因分型。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提取，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PCR-SSP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PCR-SSB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流程见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HLA-A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位点低分辨分型，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PCR-SBT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流程为两次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，两次纯化，上机检测，审核结果，录入实验室信息系统或人工登记，发送报告；按规定处理废弃物；接受临床相关咨询。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血小板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（HPA）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HPA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抗体筛查，不包括抗体特异性检测，主要流程包括加样，孵育，洗涤，上机检测，审核结果，录入实验室信息系统或人工登记，发送报告；按规定处理废弃物；接受临床相关咨询。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310205009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连续动态血糖监测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指持续监测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72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小时，每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小时测定不少于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288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个血糖值。含一次性探头及电池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310602006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血气分析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含血液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、血氧和血二氧化碳测定以及酸碱平衡分析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异常红细胞形态检查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白细胞分类计数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（DC）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异常白细胞形态检查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浓缩血恶性组织细胞检查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渗透压检查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指手工操作，尿或血清渗透压检查分别参照执行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冰点法加收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尿蛋白定量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指手工比色法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①各种化学方法加收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；②免疫比浊法加收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尿本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周氏蛋白定性检查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指热沉淀法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免疫电泳法加收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尿肌红蛋白定性检查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尿血红蛋白定性检查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尿含铁血黄素定性试验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尿三氯化铁试验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尿乳糜定性检查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尿卟啉定性试验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尿黑色素测定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尿浓缩稀释试验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尿酚红排泄试验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（PSP）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尿三杯试验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一小时尿细胞排泄率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尿十二小时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E/C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值测定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尿中病毒感染细胞检查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尿中包涵体检查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粪便常规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指手工操作；含外观、镜检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机器法加收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隐血试验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指化学法。粪便、呕吐物、痰液、分泌物、脑脊液、胸腹水等体液参照执行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元；单克隆法加收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元；粪便隐血定量检测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粪苏丹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III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前列腺液常规检查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含外观和镜检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羊水结晶检查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胃液常规检查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含酸碱度、基础胃酸分泌量、最大胃酸分泌量测定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十二指肠引流液及胆汁检查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含一般性状和镜检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各种穿刺液常规检查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含一般性状检查和镜检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红细胞包涵体检查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血浆游离血红蛋白测定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热盐水试验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红细胞滚动试验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血块收缩试验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结核菌涂片检查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各种标本分别参照执行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ABO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红细胞定型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指血清定型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反定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盐水介质交叉配血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普通门诊诊查费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指主治及以下医师提供的普通门诊诊疗服务。挂号，初建病历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，核实就诊者信息，就诊病历传送，病案管理。询问病情，听取主诉，病史采集，向患者或家属告知，进行一般物理检查，书写病历，开具检查单，根据病情提供治疗方案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副主任医师门诊诊查费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指由副主任医师在专家门诊提供技术劳务的诊疗服务。挂号，初建病历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，核实就诊者信息，就诊病历传送，病案管理。询问病情，听取患者主诉，病史采集，向患者或家属告知，进行一般物理检查，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书写病历，开具检查单，根据病情提供治疗方案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等病情诊治和健康指导。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主任医师门诊诊查费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指由主任医师在专家门诊提供技术劳务的诊疗服务。挂号，初建病历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，核实就诊者信息，就诊病历传送，病案管理。询问病情，听取患者主诉，病史采集，向患者或家属告知，进行一般物理检查，书写病历，开具检查单，根据病情提供治疗方案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等病情诊治和健康指导。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急诊诊查费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指各级急诊医师在护士配合下于急诊区域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小时提供的急诊诊疗服务。挂号，初建病历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，核实就诊者信息，就诊病历传送，病案管理。急诊医师询问病情，听取主诉，病史采集，向患者或家属告知，进行一般物理检查，书写病历，开具检查单，提供治疗方案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等服务，记录病人生命体征。必要时开通绿色通道。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分别在上述普通门诊诊查费、副主任医师诊查费、主任医师诊查费基础上加收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门急诊留观诊查费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，核实就诊者信息，就诊病历传送，病案管理。在门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急诊留观室内，医护人员根据病情需求随时巡视患者，观察患者病情及生命体征变化，病史采集，向患者或家属告知，准确记录并提出相应的治疗方案，及时与患者家属交待病情。必要时进行抢救工作。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1.急诊留观不足12小时按半日计价，超过12小时不足24小时按一日计价；2.6周岁及以下儿童在相应价格基础上加收50%。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住院诊查费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医务人员对住院患者进行的日常诊察工作。检查及观察患者病情，病案讨论，制定和调整治疗方案，住院日志书写，向患者或家属告知病情，解答患者咨询，院、科级大查房。不含邀请院际或院内会诊进行治疗指导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1.产科新生儿按5元收取；2.6周岁及以下儿童在相应价格基础上加收50%。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重症监护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重症监护室内连续监测。医生护士严密观察病情变化，密切观察血氧饱和度、呼吸、血压、脉压差、心率、心律及神志、体温、出入量等变化，发现问题及时调整治疗方案，预防并发症的发生，并作好监测，治疗及病情记录，随时配合抢救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收取重症监护不得再收分级护理和一般专项护理费。6周岁及以下儿童在相应价格基础上加收30%。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特殊疾病护理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指气性坏疽、破伤风、活动性肺结核等特殊传染病的护理，含严格消毒隔离及Ⅰ级护理内容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艾滋病、霍乱、鼠疫等烈性传染病加收10元。6周岁及以下儿童在相应价格基础上加收30%。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新生儿护理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评估新生儿适应环境能力，新生儿口腔护理，喂养，称体重，脐部残端护理，臀部护理，换尿布，观察排泄物形态并记录，洗浴，新生儿床位清洁消毒。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一次性尿布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产科新生儿不再另收分级护理费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新生儿特殊护理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评估新生儿适应环境能力，新生儿口腔护理，喂养，称体重，脐部残端护理，臀部护理，换尿布，观察排泄物形态并记录，洗浴，新生儿床位清洁消毒。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新生儿干预、肛管排气、呼吸道清理、药浴、油浴等分项收费。新生儿抚触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精神病护理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用于精神病患者的护理。随时巡视患者，观察患者情绪变化，根据患者病情测量患者体温，脉搏，呼吸等生命体征，根据医嘱，正确实施治疗，用药，对患者提供适宜的照顾和康复，健康指导，完成健康教育及心理护理，做好记录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不再另收分级护理费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气管切开护理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含吸痰、药物滴入、定时消毒、更换套管及其纱布。气管插管护理参照执行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一次吸痰管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造瘘护理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84" w:rightChars="-4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一次性造瘘底盘和造瘘袋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动静脉置管护理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评估患者病情等，核对患者信息并做好解释取得配合，准备用物，使用无菌注射器吸取抗凝剂或生理盐水定时冲管保持管道通畅，取适当体位，调整零点，测压，观察穿刺点，更换无菌敷料保持干燥清洁，固定导管，做好健康教育和心理护理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药品、预冲式导管冲洗器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仅限于静脉切开置管、中心静脉穿刺置管（PICC置管）、深静脉穿刺置管、动脉置管项目。6周岁及以下儿童在相应价格基础上加收30%。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一般专项护理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由护士护理的才能收取。6周岁及以下儿童在相应价格基础上加收30%。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口腔护理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会阴冲（抹）洗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120100014-5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压疮护理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指对有压疮患者进行促进愈合的护理。包含翻身，局部皮肤按摩。压疮部位分级的评估，减压措施的实施等。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肌肉注射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皮下注射参照执行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lang w:val="en-US" w:eastAsia="zh-CN" w:bidi="ar"/>
              </w:rPr>
              <w:t>一次性专用胰岛素注射器.笔用针头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皮内注射加收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元；脱敏注射加收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元；特殊疾病（指性病）注射加收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静脉注射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真空采血管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静脉采血每次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心内注射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动脉加压注射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动脉采血参照执行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  <w:t>动脉采血器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静脉输液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输血、留置静脉针分别参照执行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 w:bidi="ar"/>
              </w:rPr>
              <w:t>避光输液器、微电脑输液器、留置静脉针头、留置针固定专用聚氨酯透明敷贴、一次性肝素帽、输液接头（三通、多通）。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连续输液第二组起每组只收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元。使用微电脑输液泵每小时加收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元，智能输液仪每小时加收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元。自动输液监控加收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120400006-1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门诊静脉输液（输血）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指在门诊单纯输液，包括输液床椅费、护理费。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不分组数，小儿门诊静脉输液每次加收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小儿静脉输液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指六岁以下儿童静脉输液；连续输液第二组起每组只收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中心静脉穿刺置管术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深静脉穿刺置管术参照执行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中心静脉套件、测压套件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测压加收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动脉穿刺置管术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体架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头架参照执行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产前检查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含测量体重、宫高、腹围、血压、骨盆内外口测量等；不含化验检查和超声检查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default"/>
        </w:rPr>
      </w:pPr>
    </w:p>
    <w:p>
      <w:pPr>
        <w:shd w:val="clear"/>
        <w:rPr>
          <w:rFonts w:hint="default"/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d2b3a219-2b90-406c-a84f-9c89627b96be"/>
  </w:docVars>
  <w:rsids>
    <w:rsidRoot w:val="00B02767"/>
    <w:rsid w:val="00060A92"/>
    <w:rsid w:val="00076CD6"/>
    <w:rsid w:val="0009641E"/>
    <w:rsid w:val="001B5F01"/>
    <w:rsid w:val="001C6A6E"/>
    <w:rsid w:val="001D4B14"/>
    <w:rsid w:val="001F2BA2"/>
    <w:rsid w:val="002D3B8F"/>
    <w:rsid w:val="002D4D27"/>
    <w:rsid w:val="002D6CFF"/>
    <w:rsid w:val="00312AE9"/>
    <w:rsid w:val="00315B8F"/>
    <w:rsid w:val="00350BE5"/>
    <w:rsid w:val="00382D10"/>
    <w:rsid w:val="0038564B"/>
    <w:rsid w:val="003A10FB"/>
    <w:rsid w:val="003B0CAC"/>
    <w:rsid w:val="00440527"/>
    <w:rsid w:val="004D3C01"/>
    <w:rsid w:val="004E3723"/>
    <w:rsid w:val="004F4EED"/>
    <w:rsid w:val="005174F2"/>
    <w:rsid w:val="00525C29"/>
    <w:rsid w:val="00550B37"/>
    <w:rsid w:val="005B6406"/>
    <w:rsid w:val="005C6C77"/>
    <w:rsid w:val="00613FF6"/>
    <w:rsid w:val="0062675A"/>
    <w:rsid w:val="00632202"/>
    <w:rsid w:val="00656A7E"/>
    <w:rsid w:val="0067665D"/>
    <w:rsid w:val="00691187"/>
    <w:rsid w:val="00761494"/>
    <w:rsid w:val="008541CC"/>
    <w:rsid w:val="008805D9"/>
    <w:rsid w:val="008A53A1"/>
    <w:rsid w:val="008C22A0"/>
    <w:rsid w:val="008F2292"/>
    <w:rsid w:val="009349E4"/>
    <w:rsid w:val="00967EDC"/>
    <w:rsid w:val="009734B8"/>
    <w:rsid w:val="009C517D"/>
    <w:rsid w:val="00A550EA"/>
    <w:rsid w:val="00A7348D"/>
    <w:rsid w:val="00AB0E27"/>
    <w:rsid w:val="00AD7B84"/>
    <w:rsid w:val="00B02767"/>
    <w:rsid w:val="00B100BA"/>
    <w:rsid w:val="00B10771"/>
    <w:rsid w:val="00B13ACA"/>
    <w:rsid w:val="00B6228B"/>
    <w:rsid w:val="00B637A8"/>
    <w:rsid w:val="00C12040"/>
    <w:rsid w:val="00C24D3B"/>
    <w:rsid w:val="00C615ED"/>
    <w:rsid w:val="00CA1B51"/>
    <w:rsid w:val="00E41469"/>
    <w:rsid w:val="00E634EC"/>
    <w:rsid w:val="00E67684"/>
    <w:rsid w:val="00EA0D6F"/>
    <w:rsid w:val="00EE60ED"/>
    <w:rsid w:val="00EF0232"/>
    <w:rsid w:val="00EF5EA4"/>
    <w:rsid w:val="00F60E11"/>
    <w:rsid w:val="00FE4C92"/>
    <w:rsid w:val="00FE5DF2"/>
    <w:rsid w:val="03FC385C"/>
    <w:rsid w:val="046D388D"/>
    <w:rsid w:val="0AFE73C3"/>
    <w:rsid w:val="0CE622F8"/>
    <w:rsid w:val="11F12C88"/>
    <w:rsid w:val="1D313E41"/>
    <w:rsid w:val="1F8E52BD"/>
    <w:rsid w:val="1FA539E5"/>
    <w:rsid w:val="253C706D"/>
    <w:rsid w:val="25B90E1F"/>
    <w:rsid w:val="282A6A6D"/>
    <w:rsid w:val="286D7229"/>
    <w:rsid w:val="28FC4556"/>
    <w:rsid w:val="29D04DA2"/>
    <w:rsid w:val="2BB8533E"/>
    <w:rsid w:val="2DF10611"/>
    <w:rsid w:val="2F4570DD"/>
    <w:rsid w:val="2FF65D56"/>
    <w:rsid w:val="30342A42"/>
    <w:rsid w:val="32580907"/>
    <w:rsid w:val="359A26D7"/>
    <w:rsid w:val="35C402FF"/>
    <w:rsid w:val="3D5E1EE6"/>
    <w:rsid w:val="3E5654FA"/>
    <w:rsid w:val="3FC772DC"/>
    <w:rsid w:val="4189152B"/>
    <w:rsid w:val="41DE785D"/>
    <w:rsid w:val="427723A5"/>
    <w:rsid w:val="46F7D485"/>
    <w:rsid w:val="47412ADD"/>
    <w:rsid w:val="49BE336A"/>
    <w:rsid w:val="4A235025"/>
    <w:rsid w:val="4AE4356F"/>
    <w:rsid w:val="4B565245"/>
    <w:rsid w:val="4C1B0310"/>
    <w:rsid w:val="4C1C66ED"/>
    <w:rsid w:val="4DB17727"/>
    <w:rsid w:val="52BE23AA"/>
    <w:rsid w:val="58C53BDE"/>
    <w:rsid w:val="5A7D3B74"/>
    <w:rsid w:val="5AD37698"/>
    <w:rsid w:val="62963F15"/>
    <w:rsid w:val="635C0EF2"/>
    <w:rsid w:val="65EF69BB"/>
    <w:rsid w:val="67E70C75"/>
    <w:rsid w:val="6F0613BE"/>
    <w:rsid w:val="7687188F"/>
    <w:rsid w:val="79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font51"/>
    <w:basedOn w:val="8"/>
    <w:qFormat/>
    <w:uiPriority w:val="0"/>
    <w:rPr>
      <w:rFonts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0">
    <w:name w:val="font81"/>
    <w:basedOn w:val="8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21">
    <w:name w:val="font31"/>
    <w:basedOn w:val="8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12534</Words>
  <Characters>16920</Characters>
  <Lines>38</Lines>
  <Paragraphs>10</Paragraphs>
  <TotalTime>1</TotalTime>
  <ScaleCrop>false</ScaleCrop>
  <LinksUpToDate>false</LinksUpToDate>
  <CharactersWithSpaces>16930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2017-12-11T12:44:00Z</dcterms:created>
  <dc:creator>User</dc:creator>
  <cp:lastModifiedBy>好想吃糖油粑粑</cp:lastModifiedBy>
  <cp:lastPrinted>2021-12-24T10:38:00Z</cp:lastPrinted>
  <dcterms:modified xsi:type="dcterms:W3CDTF">2024-01-10T02:32:46Z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F629FCB4B3CD4B02850969B01DEB5519_13</vt:lpwstr>
  </property>
</Properties>
</file>