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5"/>
        <w:spacing w:line="530" w:lineRule="exact"/>
        <w:jc w:val="both"/>
        <w:rPr>
          <w:rFonts w:hint="default" w:ascii="Times New Roman" w:hAnsi="Times New Roman" w:eastAsia="黑体" w:cs="Times New Roman"/>
          <w:bCs/>
          <w:color w:val="auto"/>
          <w:sz w:val="32"/>
          <w:szCs w:val="32"/>
        </w:rPr>
      </w:pPr>
      <w:bookmarkStart w:id="5" w:name="_GoBack"/>
      <w:bookmarkEnd w:id="5"/>
      <w:r>
        <w:rPr>
          <w:rFonts w:hint="default" w:ascii="Times New Roman" w:hAnsi="Times New Roman" w:eastAsia="黑体" w:cs="Times New Roman"/>
          <w:bCs/>
          <w:color w:val="auto"/>
          <w:sz w:val="32"/>
          <w:szCs w:val="32"/>
        </w:rPr>
        <w:t>附件：</w:t>
      </w:r>
    </w:p>
    <w:p>
      <w:pPr>
        <w:spacing w:line="560" w:lineRule="exact"/>
        <w:jc w:val="center"/>
        <w:rPr>
          <w:rFonts w:hint="default" w:ascii="Times New Roman" w:hAnsi="Times New Roman" w:eastAsia="方正小标宋_GBK" w:cs="Times New Roman"/>
          <w:sz w:val="44"/>
          <w:szCs w:val="44"/>
        </w:rPr>
      </w:pPr>
      <w:bookmarkStart w:id="0" w:name="zhengwen"/>
    </w:p>
    <w:p>
      <w:pPr>
        <w:spacing w:line="560" w:lineRule="exact"/>
        <w:jc w:val="center"/>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湖南省医疗保障信用管理暂行办法</w:t>
      </w:r>
    </w:p>
    <w:p>
      <w:pPr>
        <w:spacing w:line="560" w:lineRule="exact"/>
        <w:jc w:val="center"/>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（征求意见稿）</w:t>
      </w:r>
    </w:p>
    <w:p>
      <w:pPr>
        <w:spacing w:line="560" w:lineRule="exact"/>
        <w:ind w:firstLine="640" w:firstLineChars="200"/>
        <w:rPr>
          <w:rFonts w:hint="default" w:ascii="Times New Roman" w:hAnsi="Times New Roman" w:eastAsia="仿宋" w:cs="Times New Roman"/>
          <w:bCs/>
          <w:sz w:val="32"/>
          <w:szCs w:val="32"/>
        </w:rPr>
      </w:pPr>
    </w:p>
    <w:p>
      <w:pPr>
        <w:spacing w:line="560" w:lineRule="exact"/>
        <w:ind w:firstLine="640" w:firstLineChars="200"/>
        <w:jc w:val="center"/>
        <w:rPr>
          <w:rFonts w:hint="default" w:ascii="Times New Roman" w:hAnsi="Times New Roman" w:eastAsia="黑体" w:cs="Times New Roman"/>
          <w:bCs/>
          <w:sz w:val="32"/>
          <w:szCs w:val="32"/>
        </w:rPr>
      </w:pPr>
      <w:r>
        <w:rPr>
          <w:rFonts w:hint="default" w:ascii="Times New Roman" w:hAnsi="Times New Roman" w:eastAsia="黑体" w:cs="Times New Roman"/>
          <w:bCs/>
          <w:sz w:val="32"/>
          <w:szCs w:val="32"/>
        </w:rPr>
        <w:t>目   录</w:t>
      </w:r>
    </w:p>
    <w:p>
      <w:pPr>
        <w:pStyle w:val="2"/>
        <w:spacing w:line="560" w:lineRule="exact"/>
        <w:ind w:firstLine="640" w:firstLineChars="200"/>
        <w:rPr>
          <w:rFonts w:hint="default" w:ascii="Times New Roman" w:hAnsi="Times New Roman" w:cs="Times New Roman"/>
          <w:kern w:val="0"/>
          <w:szCs w:val="32"/>
        </w:rPr>
      </w:pPr>
      <w:r>
        <w:rPr>
          <w:rFonts w:hint="default" w:ascii="Times New Roman" w:hAnsi="Times New Roman" w:cs="Times New Roman"/>
          <w:kern w:val="0"/>
          <w:szCs w:val="32"/>
        </w:rPr>
        <w:t>第一章  总则</w:t>
      </w:r>
    </w:p>
    <w:p>
      <w:pPr>
        <w:pStyle w:val="2"/>
        <w:spacing w:line="560" w:lineRule="exact"/>
        <w:ind w:firstLine="640" w:firstLineChars="200"/>
        <w:rPr>
          <w:rFonts w:hint="default" w:ascii="Times New Roman" w:hAnsi="Times New Roman" w:cs="Times New Roman"/>
          <w:kern w:val="0"/>
          <w:szCs w:val="32"/>
        </w:rPr>
      </w:pPr>
      <w:r>
        <w:rPr>
          <w:rFonts w:hint="default" w:ascii="Times New Roman" w:hAnsi="Times New Roman" w:cs="Times New Roman"/>
          <w:kern w:val="0"/>
          <w:szCs w:val="32"/>
        </w:rPr>
        <w:t>第二章  信用信息认定与采集</w:t>
      </w:r>
    </w:p>
    <w:p>
      <w:pPr>
        <w:pStyle w:val="2"/>
        <w:spacing w:line="560" w:lineRule="exact"/>
        <w:ind w:firstLine="640" w:firstLineChars="200"/>
        <w:rPr>
          <w:rFonts w:hint="default" w:ascii="Times New Roman" w:hAnsi="Times New Roman" w:cs="Times New Roman"/>
          <w:kern w:val="0"/>
          <w:szCs w:val="32"/>
        </w:rPr>
      </w:pPr>
      <w:r>
        <w:rPr>
          <w:rFonts w:hint="default" w:ascii="Times New Roman" w:hAnsi="Times New Roman" w:cs="Times New Roman"/>
          <w:kern w:val="0"/>
          <w:szCs w:val="32"/>
        </w:rPr>
        <w:t>第三章  信用信息评价与公开</w:t>
      </w:r>
    </w:p>
    <w:p>
      <w:pPr>
        <w:pStyle w:val="2"/>
        <w:spacing w:line="560" w:lineRule="exact"/>
        <w:ind w:firstLine="640" w:firstLineChars="200"/>
        <w:rPr>
          <w:rFonts w:hint="default" w:ascii="Times New Roman" w:hAnsi="Times New Roman" w:cs="Times New Roman"/>
          <w:kern w:val="0"/>
          <w:szCs w:val="32"/>
        </w:rPr>
      </w:pPr>
      <w:r>
        <w:rPr>
          <w:rFonts w:hint="default" w:ascii="Times New Roman" w:hAnsi="Times New Roman" w:cs="Times New Roman"/>
          <w:kern w:val="0"/>
          <w:szCs w:val="32"/>
        </w:rPr>
        <w:t>第四章  结果应用</w:t>
      </w:r>
    </w:p>
    <w:p>
      <w:pPr>
        <w:pStyle w:val="2"/>
        <w:spacing w:line="560" w:lineRule="exact"/>
        <w:ind w:firstLine="640" w:firstLineChars="200"/>
        <w:rPr>
          <w:rFonts w:hint="default" w:ascii="Times New Roman" w:hAnsi="Times New Roman" w:cs="Times New Roman"/>
          <w:kern w:val="0"/>
          <w:szCs w:val="32"/>
        </w:rPr>
      </w:pPr>
      <w:r>
        <w:rPr>
          <w:rFonts w:hint="default" w:ascii="Times New Roman" w:hAnsi="Times New Roman" w:cs="Times New Roman"/>
          <w:kern w:val="0"/>
          <w:szCs w:val="32"/>
        </w:rPr>
        <w:t>第五章  信用修复</w:t>
      </w:r>
    </w:p>
    <w:p>
      <w:pPr>
        <w:pStyle w:val="2"/>
        <w:spacing w:line="560" w:lineRule="exact"/>
        <w:ind w:firstLine="640" w:firstLineChars="200"/>
        <w:rPr>
          <w:rFonts w:hint="default" w:ascii="Times New Roman" w:hAnsi="Times New Roman" w:cs="Times New Roman"/>
          <w:kern w:val="0"/>
          <w:szCs w:val="32"/>
        </w:rPr>
      </w:pPr>
      <w:r>
        <w:rPr>
          <w:rFonts w:hint="default" w:ascii="Times New Roman" w:hAnsi="Times New Roman" w:cs="Times New Roman"/>
          <w:kern w:val="0"/>
          <w:szCs w:val="32"/>
        </w:rPr>
        <w:t>第六章  法律责任</w:t>
      </w:r>
    </w:p>
    <w:p>
      <w:pPr>
        <w:pStyle w:val="2"/>
        <w:spacing w:line="560" w:lineRule="exact"/>
        <w:ind w:firstLine="640" w:firstLineChars="200"/>
        <w:rPr>
          <w:rFonts w:hint="default" w:ascii="Times New Roman" w:hAnsi="Times New Roman" w:cs="Times New Roman"/>
          <w:kern w:val="0"/>
          <w:szCs w:val="32"/>
        </w:rPr>
      </w:pPr>
      <w:r>
        <w:rPr>
          <w:rFonts w:hint="default" w:ascii="Times New Roman" w:hAnsi="Times New Roman" w:cs="Times New Roman"/>
          <w:kern w:val="0"/>
          <w:szCs w:val="32"/>
        </w:rPr>
        <w:t>第七章  附则</w:t>
      </w:r>
    </w:p>
    <w:p>
      <w:pPr>
        <w:spacing w:line="560" w:lineRule="exact"/>
        <w:ind w:firstLine="640" w:firstLineChars="200"/>
        <w:jc w:val="center"/>
        <w:outlineLvl w:val="0"/>
        <w:rPr>
          <w:rFonts w:hint="default" w:ascii="Times New Roman" w:hAnsi="Times New Roman" w:eastAsia="黑体" w:cs="Times New Roman"/>
          <w:sz w:val="32"/>
          <w:szCs w:val="32"/>
        </w:rPr>
      </w:pPr>
      <w:bookmarkStart w:id="1" w:name="_Toc54079393"/>
    </w:p>
    <w:p>
      <w:pPr>
        <w:spacing w:line="560" w:lineRule="exact"/>
        <w:ind w:firstLine="640" w:firstLineChars="200"/>
        <w:jc w:val="center"/>
        <w:outlineLvl w:val="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第一章  总  则</w:t>
      </w:r>
      <w:bookmarkEnd w:id="1"/>
    </w:p>
    <w:p>
      <w:pPr>
        <w:spacing w:line="560" w:lineRule="exact"/>
        <w:ind w:firstLine="640" w:firstLineChars="200"/>
        <w:rPr>
          <w:rFonts w:hint="default" w:ascii="Times New Roman" w:hAnsi="Times New Roman" w:eastAsia="仿宋" w:cs="Times New Roman"/>
          <w:sz w:val="32"/>
          <w:szCs w:val="32"/>
        </w:rPr>
      </w:pPr>
    </w:p>
    <w:p>
      <w:pPr>
        <w:spacing w:line="560" w:lineRule="exact"/>
        <w:ind w:firstLine="640" w:firstLineChars="200"/>
        <w:rPr>
          <w:rFonts w:hint="default" w:ascii="Times New Roman" w:hAnsi="Times New Roman" w:cs="Times New Roman"/>
        </w:rPr>
      </w:pPr>
      <w:r>
        <w:rPr>
          <w:rFonts w:hint="default" w:ascii="Times New Roman" w:hAnsi="Times New Roman" w:eastAsia="黑体" w:cs="Times New Roman"/>
          <w:sz w:val="32"/>
          <w:szCs w:val="32"/>
        </w:rPr>
        <w:t>第一条【立法目的】</w:t>
      </w:r>
      <w:r>
        <w:rPr>
          <w:rFonts w:hint="default" w:ascii="Times New Roman" w:hAnsi="Times New Roman" w:eastAsia="仿宋_GB2312" w:cs="Times New Roman"/>
          <w:kern w:val="0"/>
          <w:sz w:val="32"/>
          <w:szCs w:val="32"/>
        </w:rPr>
        <w:t>为加快构建以信用管理为基础的新型医疗保障监管机制，促进医疗保障基金安全、高效使用，维护公民医疗保障合法权益，规范医疗保障信用管理工作，</w:t>
      </w:r>
      <w:r>
        <w:rPr>
          <w:rFonts w:hint="default" w:ascii="Times New Roman" w:hAnsi="Times New Roman" w:eastAsia="仿宋_GB2312" w:cs="Times New Roman"/>
          <w:sz w:val="32"/>
          <w:szCs w:val="32"/>
        </w:rPr>
        <w:t>根据《中共中央国务院关于深化医疗保障制度改革的意见》（中发〔2020〕5号）、《国务院办公厅关于加快推进社会信用体系建设构建以信用为基础的新型监管机制的指导意见》（国办发〔2019〕35号）、</w:t>
      </w:r>
      <w:r>
        <w:rPr>
          <w:rFonts w:hint="default" w:ascii="Times New Roman" w:hAnsi="Times New Roman" w:eastAsia="仿宋_GB2312" w:cs="Times New Roman"/>
          <w:kern w:val="0"/>
          <w:sz w:val="32"/>
          <w:szCs w:val="32"/>
        </w:rPr>
        <w:t>《国家医疗保障局关于建立医药价格和招采信用评价制度的指导意见》（医保发〔2020〕34号）、</w:t>
      </w:r>
      <w:r>
        <w:rPr>
          <w:rFonts w:hint="default" w:ascii="Times New Roman" w:hAnsi="Times New Roman" w:eastAsia="仿宋_GB2312" w:cs="Times New Roman"/>
          <w:sz w:val="32"/>
          <w:szCs w:val="32"/>
        </w:rPr>
        <w:t>《湖南省社会信用信息管理办法》（湖南省人民政府令第303号）等有关规定，</w:t>
      </w:r>
      <w:r>
        <w:rPr>
          <w:rFonts w:hint="default" w:ascii="Times New Roman" w:hAnsi="Times New Roman" w:eastAsia="仿宋_GB2312" w:cs="Times New Roman"/>
          <w:kern w:val="0"/>
          <w:sz w:val="32"/>
          <w:szCs w:val="32"/>
        </w:rPr>
        <w:t>结合我省实际，制定本办法。</w:t>
      </w:r>
    </w:p>
    <w:p>
      <w:pPr>
        <w:spacing w:line="560" w:lineRule="exact"/>
        <w:ind w:firstLine="640" w:firstLineChars="200"/>
        <w:rPr>
          <w:rFonts w:hint="default" w:ascii="Times New Roman" w:hAnsi="Times New Roman" w:cs="Times New Roman"/>
        </w:rPr>
      </w:pPr>
      <w:r>
        <w:rPr>
          <w:rFonts w:hint="default" w:ascii="Times New Roman" w:hAnsi="Times New Roman" w:eastAsia="黑体" w:cs="Times New Roman"/>
          <w:sz w:val="32"/>
          <w:szCs w:val="32"/>
        </w:rPr>
        <w:t>第二条【适用范围】</w:t>
      </w:r>
      <w:r>
        <w:rPr>
          <w:rFonts w:hint="default" w:ascii="Times New Roman" w:hAnsi="Times New Roman" w:eastAsia="仿宋_GB2312" w:cs="Times New Roman"/>
          <w:kern w:val="0"/>
          <w:sz w:val="32"/>
          <w:szCs w:val="32"/>
        </w:rPr>
        <w:t>本省行政区域内医疗保障信用主体（以下简称“信用主体”）的医疗保障信用信息采集、信用承诺、评价、发布、结果应用、修复等管理活动，适用本办法。</w:t>
      </w:r>
    </w:p>
    <w:p>
      <w:pPr>
        <w:spacing w:line="560" w:lineRule="exact"/>
        <w:ind w:firstLine="640" w:firstLineChars="200"/>
        <w:rPr>
          <w:rFonts w:hint="default" w:ascii="Times New Roman" w:hAnsi="Times New Roman" w:eastAsia="黑体" w:cs="Times New Roman"/>
          <w:kern w:val="0"/>
          <w:sz w:val="32"/>
          <w:szCs w:val="32"/>
        </w:rPr>
      </w:pPr>
      <w:r>
        <w:rPr>
          <w:rFonts w:hint="default" w:ascii="Times New Roman" w:hAnsi="Times New Roman" w:eastAsia="黑体" w:cs="Times New Roman"/>
          <w:sz w:val="32"/>
          <w:szCs w:val="32"/>
        </w:rPr>
        <w:t>第三条【信用定义】</w:t>
      </w:r>
      <w:r>
        <w:rPr>
          <w:rFonts w:hint="default" w:ascii="Times New Roman" w:hAnsi="Times New Roman" w:eastAsia="仿宋_GB2312" w:cs="Times New Roman"/>
          <w:kern w:val="0"/>
          <w:sz w:val="32"/>
          <w:szCs w:val="32"/>
        </w:rPr>
        <w:t>本办法所称医疗保障信用管理，是指医疗保障行政部门依法依规，按照规定的指标、方法和程序，运用公共信用综合评价结果和医疗保障领域信用信息，对信用主体进行动态评价，并依据评价结果确定医疗保障信用等级（以下简称“信用等级”），实施信用监管、信用奖惩措施，以规范信用主体医疗保障行为的管理活动。本办法所称医疗保障信用评价结果，是指通过信用评价所生成的信用报告、医疗保障信用分值和信用等级等。</w:t>
      </w:r>
    </w:p>
    <w:p>
      <w:pPr>
        <w:pStyle w:val="2"/>
        <w:spacing w:line="560" w:lineRule="exact"/>
        <w:ind w:firstLine="640" w:firstLineChars="200"/>
        <w:rPr>
          <w:rFonts w:hint="default" w:ascii="Times New Roman" w:hAnsi="Times New Roman" w:eastAsia="仿宋" w:cs="Times New Roman"/>
          <w:kern w:val="0"/>
          <w:szCs w:val="32"/>
        </w:rPr>
      </w:pPr>
      <w:r>
        <w:rPr>
          <w:rFonts w:hint="default" w:ascii="Times New Roman" w:hAnsi="Times New Roman" w:eastAsia="黑体" w:cs="Times New Roman"/>
          <w:kern w:val="0"/>
          <w:szCs w:val="32"/>
        </w:rPr>
        <w:t>第四条【信用主体】</w:t>
      </w:r>
      <w:r>
        <w:rPr>
          <w:rFonts w:hint="default" w:ascii="Times New Roman" w:hAnsi="Times New Roman" w:eastAsia="仿宋" w:cs="Times New Roman"/>
          <w:kern w:val="0"/>
          <w:szCs w:val="32"/>
        </w:rPr>
        <w:t>本办法所称信用主体主要分为机构和个人两类。</w:t>
      </w:r>
    </w:p>
    <w:p>
      <w:pPr>
        <w:pStyle w:val="2"/>
        <w:spacing w:line="560" w:lineRule="exact"/>
        <w:ind w:firstLine="640" w:firstLineChars="200"/>
        <w:rPr>
          <w:rFonts w:hint="default" w:ascii="Times New Roman" w:hAnsi="Times New Roman" w:eastAsia="仿宋" w:cs="Times New Roman"/>
          <w:kern w:val="0"/>
          <w:szCs w:val="32"/>
        </w:rPr>
      </w:pPr>
      <w:r>
        <w:rPr>
          <w:rFonts w:hint="default" w:ascii="Times New Roman" w:hAnsi="Times New Roman" w:eastAsia="仿宋" w:cs="Times New Roman"/>
          <w:kern w:val="0"/>
          <w:szCs w:val="32"/>
        </w:rPr>
        <w:t>（一）机构类信用主体</w:t>
      </w:r>
    </w:p>
    <w:p>
      <w:pPr>
        <w:pStyle w:val="5"/>
        <w:shd w:val="clear" w:color="auto" w:fill="FFFFFF"/>
        <w:spacing w:beforeAutospacing="0" w:afterAutospacing="0" w:line="630" w:lineRule="atLeast"/>
        <w:ind w:firstLine="579" w:firstLineChars="181"/>
        <w:rPr>
          <w:rFonts w:hint="default" w:ascii="Times New Roman" w:hAnsi="Times New Roman" w:eastAsia="仿宋" w:cs="Times New Roman"/>
          <w:sz w:val="32"/>
          <w:szCs w:val="32"/>
        </w:rPr>
      </w:pPr>
      <w:r>
        <w:rPr>
          <w:rFonts w:hint="default" w:ascii="Times New Roman" w:hAnsi="Times New Roman" w:eastAsia="仿宋" w:cs="Times New Roman"/>
          <w:sz w:val="32"/>
          <w:szCs w:val="32"/>
        </w:rPr>
        <w:t>1.基本医疗保险定点医疗机构；</w:t>
      </w:r>
    </w:p>
    <w:p>
      <w:pPr>
        <w:pStyle w:val="5"/>
        <w:shd w:val="clear" w:color="auto" w:fill="FFFFFF"/>
        <w:spacing w:beforeAutospacing="0" w:afterAutospacing="0" w:line="630" w:lineRule="atLeast"/>
        <w:ind w:firstLine="579" w:firstLineChars="181"/>
        <w:rPr>
          <w:rFonts w:hint="default" w:ascii="Times New Roman" w:hAnsi="Times New Roman" w:eastAsia="仿宋" w:cs="Times New Roman"/>
          <w:sz w:val="32"/>
          <w:szCs w:val="32"/>
        </w:rPr>
      </w:pPr>
      <w:r>
        <w:rPr>
          <w:rFonts w:hint="default" w:ascii="Times New Roman" w:hAnsi="Times New Roman" w:eastAsia="仿宋" w:cs="Times New Roman"/>
          <w:sz w:val="32"/>
          <w:szCs w:val="32"/>
        </w:rPr>
        <w:t>2.基本医疗保险定点零售药店；</w:t>
      </w:r>
    </w:p>
    <w:p>
      <w:pPr>
        <w:pStyle w:val="5"/>
        <w:shd w:val="clear" w:color="auto" w:fill="FFFFFF"/>
        <w:spacing w:beforeAutospacing="0" w:afterAutospacing="0" w:line="630" w:lineRule="atLeast"/>
        <w:ind w:firstLine="579" w:firstLineChars="181"/>
        <w:rPr>
          <w:rFonts w:hint="default" w:ascii="Times New Roman" w:hAnsi="Times New Roman" w:eastAsia="仿宋" w:cs="Times New Roman"/>
          <w:sz w:val="32"/>
          <w:szCs w:val="32"/>
        </w:rPr>
      </w:pPr>
      <w:r>
        <w:rPr>
          <w:rFonts w:hint="default" w:ascii="Times New Roman" w:hAnsi="Times New Roman" w:eastAsia="仿宋" w:cs="Times New Roman"/>
          <w:sz w:val="32"/>
          <w:szCs w:val="32"/>
        </w:rPr>
        <w:t>3.基本医疗保险参保单位；</w:t>
      </w:r>
    </w:p>
    <w:p>
      <w:pPr>
        <w:pStyle w:val="5"/>
        <w:shd w:val="clear" w:color="auto" w:fill="FFFFFF"/>
        <w:spacing w:beforeAutospacing="0" w:afterAutospacing="0" w:line="630" w:lineRule="atLeast"/>
        <w:ind w:firstLine="579" w:firstLineChars="181"/>
        <w:rPr>
          <w:rFonts w:hint="default" w:ascii="Times New Roman" w:hAnsi="Times New Roman" w:eastAsia="仿宋" w:cs="Times New Roman"/>
          <w:sz w:val="32"/>
          <w:szCs w:val="32"/>
        </w:rPr>
      </w:pPr>
      <w:r>
        <w:rPr>
          <w:rFonts w:hint="default" w:ascii="Times New Roman" w:hAnsi="Times New Roman" w:eastAsia="仿宋" w:cs="Times New Roman"/>
          <w:sz w:val="32"/>
          <w:szCs w:val="32"/>
        </w:rPr>
        <w:t>4.承办医疗保障经办业务的第三方机构；</w:t>
      </w:r>
    </w:p>
    <w:p>
      <w:pPr>
        <w:pStyle w:val="5"/>
        <w:shd w:val="clear" w:color="auto" w:fill="FFFFFF"/>
        <w:spacing w:beforeAutospacing="0" w:afterAutospacing="0" w:line="630" w:lineRule="atLeast"/>
        <w:ind w:firstLine="579" w:firstLineChars="181"/>
        <w:rPr>
          <w:rFonts w:hint="default" w:ascii="Times New Roman" w:hAnsi="Times New Roman" w:eastAsia="仿宋" w:cs="Times New Roman"/>
          <w:sz w:val="32"/>
          <w:szCs w:val="32"/>
        </w:rPr>
      </w:pPr>
      <w:r>
        <w:rPr>
          <w:rFonts w:hint="default" w:ascii="Times New Roman" w:hAnsi="Times New Roman" w:eastAsia="仿宋" w:cs="Times New Roman"/>
          <w:sz w:val="32"/>
          <w:szCs w:val="32"/>
        </w:rPr>
        <w:t>5.参与药械集中采购的医药生产和流通企业；</w:t>
      </w:r>
    </w:p>
    <w:p>
      <w:pPr>
        <w:pStyle w:val="2"/>
        <w:spacing w:line="560" w:lineRule="exact"/>
        <w:ind w:firstLine="640" w:firstLineChars="200"/>
        <w:rPr>
          <w:rFonts w:hint="default" w:ascii="Times New Roman" w:hAnsi="Times New Roman" w:eastAsia="微软雅黑" w:cs="Times New Roman"/>
          <w:szCs w:val="21"/>
          <w:shd w:val="clear" w:color="auto" w:fill="FFFFFF"/>
        </w:rPr>
      </w:pPr>
      <w:r>
        <w:rPr>
          <w:rFonts w:hint="default" w:ascii="Times New Roman" w:hAnsi="Times New Roman" w:eastAsia="仿宋" w:cs="Times New Roman"/>
          <w:kern w:val="0"/>
          <w:szCs w:val="32"/>
        </w:rPr>
        <w:t>6.其他参与医疗保障活动的机构。</w:t>
      </w:r>
    </w:p>
    <w:p>
      <w:pPr>
        <w:pStyle w:val="2"/>
        <w:spacing w:line="560" w:lineRule="exact"/>
        <w:ind w:firstLine="640" w:firstLineChars="200"/>
        <w:rPr>
          <w:rFonts w:hint="default" w:ascii="Times New Roman" w:hAnsi="Times New Roman" w:eastAsia="仿宋" w:cs="Times New Roman"/>
          <w:kern w:val="0"/>
          <w:szCs w:val="32"/>
        </w:rPr>
      </w:pPr>
      <w:r>
        <w:rPr>
          <w:rFonts w:hint="default" w:ascii="Times New Roman" w:hAnsi="Times New Roman" w:eastAsia="仿宋" w:cs="Times New Roman"/>
          <w:kern w:val="0"/>
          <w:szCs w:val="32"/>
        </w:rPr>
        <w:t>（二）个人类信用主体</w:t>
      </w:r>
    </w:p>
    <w:p>
      <w:pPr>
        <w:pStyle w:val="5"/>
        <w:shd w:val="clear" w:color="auto" w:fill="FFFFFF"/>
        <w:spacing w:beforeAutospacing="0" w:afterAutospacing="0" w:line="630" w:lineRule="atLeas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1.提供医疗保障服务的医师、护士（师）、技师、药师等专业从业人员；</w:t>
      </w:r>
    </w:p>
    <w:p>
      <w:pPr>
        <w:pStyle w:val="5"/>
        <w:shd w:val="clear" w:color="auto" w:fill="FFFFFF"/>
        <w:spacing w:beforeAutospacing="0" w:afterAutospacing="0" w:line="630" w:lineRule="atLeas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2.参保人员；</w:t>
      </w:r>
    </w:p>
    <w:p>
      <w:pPr>
        <w:pStyle w:val="2"/>
        <w:spacing w:line="560" w:lineRule="exact"/>
        <w:ind w:firstLine="640" w:firstLineChars="200"/>
        <w:rPr>
          <w:rFonts w:hint="default" w:ascii="Times New Roman" w:hAnsi="Times New Roman" w:cs="Times New Roman"/>
          <w:kern w:val="0"/>
          <w:szCs w:val="32"/>
        </w:rPr>
      </w:pPr>
      <w:r>
        <w:rPr>
          <w:rFonts w:hint="default" w:ascii="Times New Roman" w:hAnsi="Times New Roman" w:cs="Times New Roman"/>
          <w:kern w:val="0"/>
          <w:szCs w:val="32"/>
        </w:rPr>
        <w:t>3.其他参与医疗保障活动的个人。</w:t>
      </w:r>
    </w:p>
    <w:p>
      <w:pPr>
        <w:spacing w:line="560"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黑体" w:cs="Times New Roman"/>
          <w:sz w:val="32"/>
          <w:szCs w:val="32"/>
        </w:rPr>
        <w:t>第五条【管理原则】</w:t>
      </w:r>
      <w:r>
        <w:rPr>
          <w:rFonts w:hint="default" w:ascii="Times New Roman" w:hAnsi="Times New Roman" w:eastAsia="仿宋_GB2312" w:cs="Times New Roman"/>
          <w:kern w:val="0"/>
          <w:sz w:val="32"/>
          <w:szCs w:val="32"/>
        </w:rPr>
        <w:t>医疗保障信用管理坚持以人民健康为中心，遵循合法、安全、公正、公开、便民的原则；坚持激励诚信，惩戒失信，引导信用主体增强诚信意识，营造良好氛围。</w:t>
      </w:r>
    </w:p>
    <w:p>
      <w:pPr>
        <w:pStyle w:val="5"/>
        <w:shd w:val="clear" w:color="auto" w:fill="FFFFFF"/>
        <w:spacing w:beforeAutospacing="0" w:afterAutospacing="0" w:line="56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t>第六条【部门职责】</w:t>
      </w:r>
      <w:r>
        <w:rPr>
          <w:rFonts w:hint="default" w:ascii="Times New Roman" w:hAnsi="Times New Roman" w:eastAsia="仿宋_GB2312" w:cs="Times New Roman"/>
          <w:sz w:val="32"/>
          <w:szCs w:val="32"/>
        </w:rPr>
        <w:t>省医疗保障行政部门统筹全省医疗保障信用管理工作，负责指导、协调推进全省医疗保障信用管理工作，负责开发和维护医疗保障信用智慧监管平台以及与该平台相关信用评价平台的数据对接等工作。</w:t>
      </w:r>
    </w:p>
    <w:p>
      <w:pPr>
        <w:pStyle w:val="5"/>
        <w:shd w:val="clear" w:color="auto" w:fill="FFFFFF"/>
        <w:spacing w:beforeAutospacing="0" w:afterAutospacing="0" w:line="56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市医疗保障行政部门负责本行政区域内医疗保障信用管理相关信息的采集、录入和审核，负责开展信用评价与结果应用。</w:t>
      </w:r>
    </w:p>
    <w:p>
      <w:pPr>
        <w:ind w:firstLine="640" w:firstLineChars="200"/>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t>第七条</w:t>
      </w:r>
      <w:bookmarkStart w:id="2" w:name="_Toc54079394"/>
      <w:r>
        <w:rPr>
          <w:rFonts w:hint="default" w:ascii="Times New Roman" w:hAnsi="Times New Roman" w:eastAsia="黑体" w:cs="Times New Roman"/>
          <w:bCs/>
          <w:sz w:val="32"/>
          <w:szCs w:val="32"/>
        </w:rPr>
        <w:t>【诚信建设】</w:t>
      </w:r>
      <w:r>
        <w:rPr>
          <w:rFonts w:hint="default" w:ascii="Times New Roman" w:hAnsi="Times New Roman" w:eastAsia="仿宋_GB2312" w:cs="Times New Roman"/>
          <w:sz w:val="32"/>
          <w:szCs w:val="32"/>
        </w:rPr>
        <w:t>各级医疗保障部门及其工作人员应当依法履行职责，加强自身诚信建设，提高公信力和守法履约的意识和水平。各级医疗保障部门应当</w:t>
      </w:r>
      <w:r>
        <w:rPr>
          <w:rFonts w:hint="default" w:ascii="Times New Roman" w:hAnsi="Times New Roman" w:eastAsia="仿宋_GB2312" w:cs="Times New Roman"/>
          <w:kern w:val="0"/>
          <w:sz w:val="32"/>
          <w:szCs w:val="32"/>
        </w:rPr>
        <w:t>创新事前环节信用监管，按照国家规定推行信用承诺制度，并将信用承诺履行情况作为事中事后监管的依据</w:t>
      </w:r>
      <w:r>
        <w:rPr>
          <w:rFonts w:hint="default" w:ascii="Times New Roman" w:hAnsi="Times New Roman" w:eastAsia="仿宋_GB2312" w:cs="Times New Roman"/>
          <w:sz w:val="32"/>
          <w:szCs w:val="32"/>
        </w:rPr>
        <w:t>。各类信用主体应当守信自律，提高诚信意识。</w:t>
      </w:r>
    </w:p>
    <w:p>
      <w:pPr>
        <w:ind w:firstLine="640" w:firstLineChars="200"/>
        <w:rPr>
          <w:rFonts w:hint="default" w:ascii="Times New Roman" w:hAnsi="Times New Roman" w:eastAsia="仿宋_GB2312" w:cs="Times New Roman"/>
          <w:sz w:val="32"/>
          <w:szCs w:val="32"/>
        </w:rPr>
      </w:pPr>
      <w:r>
        <w:rPr>
          <w:rFonts w:hint="default" w:ascii="Times New Roman" w:hAnsi="Times New Roman" w:eastAsia="黑体" w:cs="Times New Roman"/>
          <w:bCs/>
          <w:sz w:val="32"/>
          <w:szCs w:val="32"/>
        </w:rPr>
        <w:t>第八条【宣传教育】</w:t>
      </w:r>
      <w:r>
        <w:rPr>
          <w:rFonts w:hint="default" w:ascii="Times New Roman" w:hAnsi="Times New Roman" w:eastAsia="仿宋_GB2312" w:cs="Times New Roman"/>
          <w:sz w:val="32"/>
          <w:szCs w:val="32"/>
        </w:rPr>
        <w:t>各级医疗保障部门应当加强诚信文化宣传，开展诚信主题活动，宣传诚信先进典型，弘扬诚实守信的传统文化和现代契约精神。</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鼓励医疗保障信用服务行业组织、信用服务行业从业人员以及专家、志愿者通过进社区、进企业等形式，开展医疗保障诚信文化宣传和普及医疗保障信用知识。</w:t>
      </w:r>
    </w:p>
    <w:p>
      <w:pPr>
        <w:shd w:val="clear" w:color="auto" w:fill="FFFFFF"/>
        <w:spacing w:line="56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鼓励报刊、广播、电视、互联网等大众传播媒介宣传医疗保障领域诚实守信的典型，依法报道、披露各种医疗保障失信行为。</w:t>
      </w:r>
    </w:p>
    <w:p>
      <w:pPr>
        <w:pStyle w:val="5"/>
        <w:shd w:val="clear" w:color="auto" w:fill="FFFFFF"/>
        <w:spacing w:beforeAutospacing="0" w:afterAutospacing="0" w:line="560" w:lineRule="exact"/>
        <w:ind w:firstLine="640" w:firstLineChars="200"/>
        <w:jc w:val="both"/>
        <w:rPr>
          <w:rFonts w:hint="default" w:ascii="Times New Roman" w:hAnsi="Times New Roman" w:eastAsia="仿宋_GB2312" w:cs="Times New Roman"/>
          <w:sz w:val="32"/>
          <w:szCs w:val="32"/>
        </w:rPr>
      </w:pPr>
    </w:p>
    <w:p>
      <w:pPr>
        <w:spacing w:line="560" w:lineRule="exact"/>
        <w:ind w:firstLine="640" w:firstLineChars="200"/>
        <w:jc w:val="center"/>
        <w:outlineLvl w:val="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第二章  信用信息</w:t>
      </w:r>
      <w:bookmarkEnd w:id="2"/>
      <w:r>
        <w:rPr>
          <w:rFonts w:hint="default" w:ascii="Times New Roman" w:hAnsi="Times New Roman" w:eastAsia="黑体" w:cs="Times New Roman"/>
          <w:sz w:val="32"/>
          <w:szCs w:val="32"/>
        </w:rPr>
        <w:t>认定与采集</w:t>
      </w:r>
    </w:p>
    <w:p>
      <w:pPr>
        <w:pStyle w:val="5"/>
        <w:spacing w:beforeAutospacing="0" w:afterAutospacing="0" w:line="630" w:lineRule="atLeast"/>
        <w:rPr>
          <w:rStyle w:val="9"/>
          <w:rFonts w:hint="default" w:ascii="Times New Roman" w:hAnsi="Times New Roman" w:eastAsia="微软雅黑" w:cs="Times New Roman"/>
          <w:sz w:val="27"/>
          <w:szCs w:val="27"/>
        </w:rPr>
      </w:pPr>
    </w:p>
    <w:p>
      <w:pPr>
        <w:pStyle w:val="5"/>
        <w:spacing w:beforeAutospacing="0" w:afterAutospacing="0" w:line="560" w:lineRule="atLeast"/>
        <w:ind w:firstLine="640" w:firstLineChars="200"/>
        <w:rPr>
          <w:rFonts w:hint="default" w:ascii="Times New Roman" w:hAnsi="Times New Roman" w:eastAsia="仿宋_GB2312" w:cs="Times New Roman"/>
          <w:sz w:val="32"/>
          <w:szCs w:val="32"/>
        </w:rPr>
      </w:pPr>
      <w:r>
        <w:rPr>
          <w:rFonts w:hint="default" w:ascii="Times New Roman" w:hAnsi="Times New Roman" w:eastAsia="黑体" w:cs="Times New Roman"/>
          <w:kern w:val="2"/>
          <w:sz w:val="32"/>
          <w:szCs w:val="32"/>
        </w:rPr>
        <w:t>第九条</w:t>
      </w:r>
      <w:r>
        <w:rPr>
          <w:rFonts w:hint="default" w:ascii="Times New Roman" w:hAnsi="Times New Roman" w:eastAsia="黑体" w:cs="Times New Roman"/>
          <w:sz w:val="32"/>
          <w:szCs w:val="32"/>
          <w:shd w:val="clear" w:color="auto" w:fill="FFFFFF"/>
        </w:rPr>
        <w:t>【</w:t>
      </w:r>
      <w:r>
        <w:rPr>
          <w:rFonts w:hint="default" w:ascii="Times New Roman" w:hAnsi="Times New Roman" w:eastAsia="黑体" w:cs="Times New Roman"/>
          <w:sz w:val="32"/>
          <w:szCs w:val="32"/>
        </w:rPr>
        <w:t>信息平台】</w:t>
      </w:r>
      <w:r>
        <w:rPr>
          <w:rFonts w:hint="default" w:ascii="Times New Roman" w:hAnsi="Times New Roman" w:eastAsia="仿宋_GB2312" w:cs="Times New Roman"/>
          <w:sz w:val="32"/>
          <w:szCs w:val="32"/>
        </w:rPr>
        <w:t>省医疗保障部门根据信用管理的全流程要求，整合医疗保障领域各种信用信息资源，健全医疗保障信用信息数据库，设立医疗保障信用主体的信用档案、管理模块，实现信用信息的电子化采集、记录、存储和应用，实现医疗保障信用主体信用的科学评价，创新建设指引患者科学就医子系统。</w:t>
      </w:r>
    </w:p>
    <w:p>
      <w:pPr>
        <w:pStyle w:val="5"/>
        <w:spacing w:beforeAutospacing="0" w:afterAutospacing="0" w:line="560" w:lineRule="atLeas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黑体" w:cs="Times New Roman"/>
          <w:bCs/>
          <w:kern w:val="2"/>
          <w:sz w:val="32"/>
          <w:szCs w:val="32"/>
        </w:rPr>
        <w:t>第十条</w:t>
      </w:r>
      <w:r>
        <w:rPr>
          <w:rFonts w:hint="default" w:ascii="Times New Roman" w:hAnsi="Times New Roman" w:eastAsia="黑体" w:cs="Times New Roman"/>
          <w:sz w:val="32"/>
          <w:szCs w:val="32"/>
          <w:shd w:val="clear" w:color="auto" w:fill="FFFFFF"/>
        </w:rPr>
        <w:t>【</w:t>
      </w:r>
      <w:r>
        <w:rPr>
          <w:rFonts w:hint="default" w:ascii="Times New Roman" w:hAnsi="Times New Roman" w:eastAsia="黑体" w:cs="Times New Roman"/>
          <w:sz w:val="32"/>
          <w:szCs w:val="32"/>
        </w:rPr>
        <w:t>信息采集目录】</w:t>
      </w:r>
      <w:r>
        <w:rPr>
          <w:rFonts w:hint="default" w:ascii="Times New Roman" w:hAnsi="Times New Roman" w:eastAsia="仿宋_GB2312" w:cs="Times New Roman"/>
          <w:sz w:val="32"/>
          <w:szCs w:val="32"/>
        </w:rPr>
        <w:t>省医疗保障行政部门组织制定全省医疗保障信用信息采集目录并定期更新，明确各类信用主体需要采集的信用信息。拟纳入的具体信用信息项目，存在较大分歧意见或者可能造成较大社会影响的，省医疗保障行政部门应组织评估，听取相关群体代表、专家等方面的意见。</w:t>
      </w:r>
    </w:p>
    <w:p>
      <w:pPr>
        <w:pStyle w:val="5"/>
        <w:spacing w:beforeAutospacing="0" w:afterAutospacing="0" w:line="560" w:lineRule="atLeas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医疗保障信用信息采集目录形成后，由省医疗保障行政部门向社会公布。</w:t>
      </w:r>
    </w:p>
    <w:p>
      <w:pPr>
        <w:pStyle w:val="5"/>
        <w:spacing w:beforeAutospacing="0" w:afterAutospacing="0" w:line="560" w:lineRule="exact"/>
        <w:ind w:firstLine="640" w:firstLineChars="200"/>
        <w:jc w:val="both"/>
        <w:rPr>
          <w:rFonts w:hint="default" w:ascii="Times New Roman" w:hAnsi="Times New Roman" w:eastAsia="黑体" w:cs="Times New Roman"/>
          <w:sz w:val="32"/>
          <w:szCs w:val="32"/>
        </w:rPr>
      </w:pPr>
      <w:r>
        <w:rPr>
          <w:rFonts w:hint="default" w:ascii="Times New Roman" w:hAnsi="Times New Roman" w:eastAsia="黑体" w:cs="Times New Roman"/>
          <w:kern w:val="2"/>
          <w:sz w:val="32"/>
          <w:szCs w:val="32"/>
        </w:rPr>
        <w:t>第十一条</w:t>
      </w:r>
      <w:r>
        <w:rPr>
          <w:rFonts w:hint="default" w:ascii="Times New Roman" w:hAnsi="Times New Roman" w:eastAsia="黑体" w:cs="Times New Roman"/>
          <w:sz w:val="32"/>
          <w:szCs w:val="32"/>
          <w:shd w:val="clear" w:color="auto" w:fill="FFFFFF"/>
        </w:rPr>
        <w:t>【</w:t>
      </w:r>
      <w:r>
        <w:rPr>
          <w:rFonts w:hint="default" w:ascii="Times New Roman" w:hAnsi="Times New Roman" w:eastAsia="黑体" w:cs="Times New Roman"/>
          <w:sz w:val="32"/>
          <w:szCs w:val="32"/>
        </w:rPr>
        <w:t>信用信息】</w:t>
      </w:r>
      <w:r>
        <w:rPr>
          <w:rFonts w:hint="default" w:ascii="Times New Roman" w:hAnsi="Times New Roman" w:eastAsia="仿宋_GB2312" w:cs="Times New Roman"/>
          <w:sz w:val="32"/>
          <w:szCs w:val="32"/>
        </w:rPr>
        <w:t>医疗保障信用信息包括基础信息、守信信息、失信信息。</w:t>
      </w:r>
    </w:p>
    <w:p>
      <w:pPr>
        <w:pStyle w:val="5"/>
        <w:spacing w:beforeAutospacing="0" w:afterAutospacing="0" w:line="56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（一）基础信息。机构类信用主体基础信息包括单位性质、法定名称、法定代表人和统一社会信用代码等；个人类信用主体基础信息包括姓名和居民身份证号码、出入境证件号码、执业注册编码等。</w:t>
      </w:r>
    </w:p>
    <w:p>
      <w:pPr>
        <w:pStyle w:val="5"/>
        <w:spacing w:beforeAutospacing="0" w:afterAutospacing="0" w:line="56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二）守信信息。县级以上人民政府及其部门、法律法规授权具有管理公共事务职能的组织按规定程序认定的与诚信相关的表彰、奖励等信息；主动守信承诺信息；法律、法规、规章等规定应当记入信用档案的其他守信信息。</w:t>
      </w:r>
    </w:p>
    <w:p>
      <w:pPr>
        <w:pStyle w:val="5"/>
        <w:spacing w:beforeAutospacing="0" w:afterAutospacing="0" w:line="560" w:lineRule="exact"/>
        <w:ind w:firstLine="640" w:firstLineChars="200"/>
        <w:jc w:val="both"/>
        <w:rPr>
          <w:rFonts w:hint="default" w:ascii="Times New Roman" w:hAnsi="Times New Roman" w:cs="Times New Roman"/>
          <w:shd w:val="clear" w:color="auto" w:fill="FFFFFF"/>
        </w:rPr>
      </w:pPr>
      <w:r>
        <w:rPr>
          <w:rFonts w:hint="default" w:ascii="Times New Roman" w:hAnsi="Times New Roman" w:eastAsia="仿宋_GB2312" w:cs="Times New Roman"/>
          <w:sz w:val="32"/>
          <w:szCs w:val="32"/>
        </w:rPr>
        <w:t>（三）失信信息。信用主体在医疗保障领域违反有关法律、法规、规章或服务协议等，受到县级及以上医疗保障部门及其授权委托的机构处理；医药企业定价、营销、投标、履约过程中实施法律法规禁止、有悖诚信和公平竞争的行为以牟取不正当利益的；涉及医疗保障领域的纪检、公安、司法、市场监管等相关部门处理的失信信息；经相关部门认定的其他相关失信信息。</w:t>
      </w:r>
    </w:p>
    <w:p>
      <w:pPr>
        <w:pStyle w:val="5"/>
        <w:spacing w:beforeAutospacing="0" w:afterAutospacing="0" w:line="560" w:lineRule="exact"/>
        <w:ind w:firstLine="640" w:firstLineChars="200"/>
        <w:jc w:val="both"/>
        <w:rPr>
          <w:rFonts w:hint="default" w:ascii="Times New Roman" w:hAnsi="Times New Roman" w:eastAsia="仿宋_GB2312" w:cs="Times New Roman"/>
          <w:bCs/>
          <w:kern w:val="2"/>
          <w:sz w:val="32"/>
          <w:szCs w:val="32"/>
        </w:rPr>
      </w:pPr>
      <w:r>
        <w:rPr>
          <w:rFonts w:hint="default" w:ascii="Times New Roman" w:hAnsi="Times New Roman" w:eastAsia="黑体" w:cs="Times New Roman"/>
          <w:sz w:val="32"/>
          <w:szCs w:val="32"/>
          <w:shd w:val="clear" w:color="auto" w:fill="FFFFFF"/>
        </w:rPr>
        <w:t>第十二条</w:t>
      </w:r>
      <w:r>
        <w:rPr>
          <w:rFonts w:hint="default" w:ascii="Times New Roman" w:hAnsi="Times New Roman" w:eastAsia="黑体" w:cs="Times New Roman"/>
          <w:sz w:val="32"/>
          <w:szCs w:val="32"/>
        </w:rPr>
        <w:t>【信息采集】</w:t>
      </w:r>
      <w:r>
        <w:rPr>
          <w:rFonts w:hint="default" w:ascii="Times New Roman" w:hAnsi="Times New Roman" w:eastAsia="仿宋_GB2312" w:cs="Times New Roman"/>
          <w:sz w:val="32"/>
          <w:szCs w:val="32"/>
        </w:rPr>
        <w:t>各级医疗保障部门应对各类信用主体的医疗保障信用信息进行采集、审核、认定、更新等。信息采集的途径包括：</w:t>
      </w:r>
    </w:p>
    <w:p>
      <w:pPr>
        <w:pStyle w:val="5"/>
        <w:spacing w:beforeAutospacing="0" w:afterAutospacing="0" w:line="56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（一）信用主体按照信用体系建设的要求主动提供；</w:t>
      </w:r>
    </w:p>
    <w:p>
      <w:pPr>
        <w:pStyle w:val="5"/>
        <w:spacing w:beforeAutospacing="0" w:afterAutospacing="0" w:line="56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（二）医疗保障部门从医保信息系统提取；</w:t>
      </w:r>
    </w:p>
    <w:p>
      <w:pPr>
        <w:pStyle w:val="5"/>
        <w:spacing w:beforeAutospacing="0" w:afterAutospacing="0" w:line="56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（三）医疗保障部门监管人员从日常监管中获取；</w:t>
      </w:r>
    </w:p>
    <w:p>
      <w:pPr>
        <w:pStyle w:val="5"/>
        <w:spacing w:beforeAutospacing="0" w:afterAutospacing="0" w:line="56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（四）医疗保障部门从湖南省公共信用信息平台、国家企业信用信息公示系统等平台数据共享；</w:t>
      </w:r>
    </w:p>
    <w:p>
      <w:pPr>
        <w:pStyle w:val="5"/>
        <w:spacing w:beforeAutospacing="0" w:afterAutospacing="0" w:line="56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（五）其他符合规定的采集途径。</w:t>
      </w:r>
    </w:p>
    <w:p>
      <w:pPr>
        <w:ind w:firstLine="640" w:firstLineChars="200"/>
        <w:rPr>
          <w:rFonts w:hint="default" w:ascii="Times New Roman" w:hAnsi="Times New Roman" w:eastAsia="仿宋_GB2312" w:cs="Times New Roman"/>
          <w:sz w:val="32"/>
          <w:szCs w:val="32"/>
        </w:rPr>
      </w:pPr>
      <w:r>
        <w:rPr>
          <w:rFonts w:hint="default" w:ascii="Times New Roman" w:hAnsi="Times New Roman" w:eastAsia="黑体" w:cs="Times New Roman"/>
          <w:bCs/>
          <w:sz w:val="32"/>
          <w:szCs w:val="32"/>
        </w:rPr>
        <w:t>第十三条【信息责任】</w:t>
      </w:r>
      <w:r>
        <w:rPr>
          <w:rFonts w:hint="default" w:ascii="Times New Roman" w:hAnsi="Times New Roman" w:eastAsia="仿宋_GB2312" w:cs="Times New Roman"/>
          <w:sz w:val="32"/>
          <w:szCs w:val="32"/>
        </w:rPr>
        <w:t>各类信用主体应按有关规定提供医疗保障信用信息。信用主体应对其提供信息的真实性、完整性、准确性负责，不得隐匿、虚构、篡改。</w:t>
      </w:r>
    </w:p>
    <w:p>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按照“谁监管、谁负责，谁采集、谁负责”的原则，作出信用信息归集的部门对医疗保障信用主体信息的及时性、真实性、准确性和完整性负责。</w:t>
      </w:r>
    </w:p>
    <w:p>
      <w:pPr>
        <w:pStyle w:val="5"/>
        <w:spacing w:beforeAutospacing="0" w:afterAutospacing="0" w:line="56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黑体" w:cs="Times New Roman"/>
          <w:bCs/>
          <w:kern w:val="2"/>
          <w:sz w:val="32"/>
          <w:szCs w:val="32"/>
        </w:rPr>
        <w:t>第十四条</w:t>
      </w:r>
      <w:r>
        <w:rPr>
          <w:rFonts w:hint="default" w:ascii="Times New Roman" w:hAnsi="Times New Roman" w:eastAsia="黑体" w:cs="Times New Roman"/>
          <w:sz w:val="32"/>
          <w:szCs w:val="32"/>
        </w:rPr>
        <w:t>【信用档案】</w:t>
      </w:r>
      <w:r>
        <w:rPr>
          <w:rFonts w:hint="default" w:ascii="Times New Roman" w:hAnsi="Times New Roman" w:eastAsia="仿宋_GB2312" w:cs="Times New Roman"/>
          <w:sz w:val="32"/>
          <w:szCs w:val="32"/>
        </w:rPr>
        <w:t>采集的信用信息纳入信用档案。 各级医疗保障行政部门负责组织建立本行政区域内的信用主体信用档案。自然人公共信用信息的归集以居民身份证号码作为关联匹配的标识；无居民身份证号码的，以户口簿、护照等其他有效身份证件的号码作为关联匹配的标识。法人和非法人组织公共信用信息的归集以统一社会信用代码作为关联匹配的唯一标识。</w:t>
      </w:r>
    </w:p>
    <w:p>
      <w:pPr>
        <w:spacing w:line="560" w:lineRule="exact"/>
        <w:outlineLvl w:val="0"/>
        <w:rPr>
          <w:rFonts w:hint="default" w:ascii="Times New Roman" w:hAnsi="Times New Roman" w:eastAsia="黑体" w:cs="Times New Roman"/>
          <w:sz w:val="32"/>
          <w:szCs w:val="32"/>
        </w:rPr>
      </w:pPr>
    </w:p>
    <w:p>
      <w:pPr>
        <w:numPr>
          <w:ilvl w:val="0"/>
          <w:numId w:val="1"/>
        </w:numPr>
        <w:spacing w:line="560" w:lineRule="exact"/>
        <w:ind w:firstLine="640" w:firstLineChars="200"/>
        <w:jc w:val="center"/>
        <w:outlineLvl w:val="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 xml:space="preserve"> 信用信息评价与公开</w:t>
      </w:r>
    </w:p>
    <w:p>
      <w:pPr>
        <w:pStyle w:val="2"/>
        <w:rPr>
          <w:rFonts w:hint="default" w:ascii="Times New Roman" w:hAnsi="Times New Roman" w:cs="Times New Roman"/>
        </w:rPr>
      </w:pPr>
    </w:p>
    <w:p>
      <w:pPr>
        <w:pStyle w:val="5"/>
        <w:spacing w:beforeAutospacing="0" w:afterAutospacing="0" w:line="56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黑体" w:cs="Times New Roman"/>
          <w:bCs/>
          <w:kern w:val="2"/>
          <w:sz w:val="32"/>
          <w:szCs w:val="32"/>
        </w:rPr>
        <w:t>第十五条【信用信息评价】</w:t>
      </w:r>
      <w:r>
        <w:rPr>
          <w:rFonts w:hint="default" w:ascii="Times New Roman" w:hAnsi="Times New Roman" w:eastAsia="仿宋_GB2312" w:cs="Times New Roman"/>
          <w:sz w:val="32"/>
          <w:szCs w:val="32"/>
        </w:rPr>
        <w:t>省医疗保障行政部门负责组织制定各类信用主体的信用评价办法，明确信用指标体系、信用评价方式、信用等级及结果应用等内容。</w:t>
      </w:r>
    </w:p>
    <w:p>
      <w:pPr>
        <w:pStyle w:val="5"/>
        <w:spacing w:beforeAutospacing="0" w:afterAutospacing="0" w:line="56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黑体" w:cs="Times New Roman"/>
          <w:bCs/>
          <w:kern w:val="2"/>
          <w:sz w:val="32"/>
          <w:szCs w:val="32"/>
        </w:rPr>
        <w:t>第十六条【信用信息评价结果】</w:t>
      </w:r>
      <w:r>
        <w:rPr>
          <w:rFonts w:hint="default" w:ascii="Times New Roman" w:hAnsi="Times New Roman" w:eastAsia="仿宋_GB2312" w:cs="Times New Roman"/>
          <w:sz w:val="32"/>
          <w:szCs w:val="32"/>
        </w:rPr>
        <w:t>评价机构应按照信用评价办法，通过医疗保障信用智慧监管平台对信用主体进行综合评价，自动生成信用评价结果。信用评价实行动态考评。</w:t>
      </w:r>
    </w:p>
    <w:p>
      <w:pPr>
        <w:pStyle w:val="5"/>
        <w:spacing w:beforeAutospacing="0" w:afterAutospacing="0" w:line="56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医疗保障部门应当通过提供网站或手机客户端等方式为信用主体提供实时查询服务。</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黑体" w:cs="Times New Roman"/>
          <w:bCs/>
          <w:sz w:val="32"/>
          <w:szCs w:val="32"/>
        </w:rPr>
        <w:t>第十七条【信用主体的异议权】</w:t>
      </w:r>
      <w:r>
        <w:rPr>
          <w:rFonts w:hint="default" w:ascii="Times New Roman" w:hAnsi="Times New Roman" w:eastAsia="仿宋_GB2312" w:cs="Times New Roman"/>
          <w:sz w:val="32"/>
          <w:szCs w:val="32"/>
        </w:rPr>
        <w:t>信用主体认为其医疗保障信用信息的内容存在错误、遗漏，或者信息采集、归集、披露、使用过程中存在侵犯其合法权益的，可以通过线上或线下途径，向作出评价的医疗保障行政部门提出异议申请（附件1），说明理由并提供相关证明材料。</w:t>
      </w:r>
    </w:p>
    <w:p>
      <w:pPr>
        <w:pStyle w:val="5"/>
        <w:shd w:val="clear" w:color="auto" w:fill="FFFFFF"/>
        <w:spacing w:beforeAutospacing="0" w:afterAutospacing="0" w:line="56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医疗保障行政部门自收到异议申请及证明材料之日起，在3个工作日内进行核查并处理；需要其他单位协助核查信息的，应当自收到异议申请之日起5个工作日内进行核查并处理。并将核查结果（附件2）通知异议申请人。</w:t>
      </w:r>
    </w:p>
    <w:p>
      <w:pPr>
        <w:pStyle w:val="5"/>
        <w:shd w:val="clear" w:color="auto" w:fill="FFFFFF"/>
        <w:spacing w:beforeAutospacing="0" w:afterAutospacing="0" w:line="56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国家医疗保障局另有规定的从其规定。</w:t>
      </w:r>
    </w:p>
    <w:p>
      <w:pPr>
        <w:ind w:firstLine="640" w:firstLineChars="200"/>
        <w:rPr>
          <w:rFonts w:hint="default" w:ascii="Times New Roman" w:hAnsi="Times New Roman" w:eastAsia="仿宋_GB2312" w:cs="Times New Roman"/>
          <w:sz w:val="32"/>
          <w:szCs w:val="32"/>
        </w:rPr>
      </w:pPr>
      <w:r>
        <w:rPr>
          <w:rFonts w:hint="default" w:ascii="Times New Roman" w:hAnsi="Times New Roman" w:eastAsia="黑体" w:cs="Times New Roman"/>
          <w:bCs/>
          <w:sz w:val="32"/>
          <w:szCs w:val="32"/>
        </w:rPr>
        <w:t>第十八条【严重失信主体名单公布】</w:t>
      </w:r>
      <w:r>
        <w:rPr>
          <w:rFonts w:hint="default" w:ascii="Times New Roman" w:hAnsi="Times New Roman" w:eastAsia="仿宋_GB2312" w:cs="Times New Roman"/>
          <w:sz w:val="32"/>
          <w:szCs w:val="32"/>
        </w:rPr>
        <w:t>信用主体的医疗保障信用评价结果由设区的市级医疗保障部门统一发布。设区的市级医疗保障行政部门作出认定严重失信主体名单决定前，应当告知信用主体决定的事由、依据和依法享有的权利；信用主体提出异议的，应当予以核实，必要时可以组织听证。处理结果应当在规定时限内反馈。</w:t>
      </w:r>
    </w:p>
    <w:p>
      <w:pPr>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将信用主体列入严重失信主体名单，应当出具并送达决定文书，载明事由、依据、失信惩戒措施提示、移出条件和程序以及救济措施等。</w:t>
      </w:r>
    </w:p>
    <w:p>
      <w:pPr>
        <w:pStyle w:val="2"/>
        <w:ind w:firstLine="640" w:firstLineChars="200"/>
        <w:rPr>
          <w:rFonts w:hint="default" w:ascii="Times New Roman" w:hAnsi="Times New Roman" w:cs="Times New Roman"/>
          <w:szCs w:val="32"/>
        </w:rPr>
      </w:pPr>
      <w:r>
        <w:rPr>
          <w:rFonts w:hint="default" w:ascii="Times New Roman" w:hAnsi="Times New Roman" w:cs="Times New Roman"/>
          <w:szCs w:val="32"/>
        </w:rPr>
        <w:t>设区的市级医疗保障行政部门应在严重失信名单认定后5个工作日内上报省医疗保障行政部门。</w:t>
      </w:r>
    </w:p>
    <w:p>
      <w:pPr>
        <w:pStyle w:val="2"/>
        <w:ind w:firstLine="640" w:firstLineChars="200"/>
        <w:rPr>
          <w:rFonts w:hint="default" w:ascii="Times New Roman" w:hAnsi="Times New Roman" w:cs="Times New Roman"/>
          <w:szCs w:val="32"/>
        </w:rPr>
      </w:pPr>
      <w:r>
        <w:rPr>
          <w:rFonts w:hint="default" w:ascii="Times New Roman" w:hAnsi="Times New Roman" w:eastAsia="黑体" w:cs="Times New Roman"/>
          <w:bCs/>
          <w:szCs w:val="32"/>
        </w:rPr>
        <w:t>第十九条【信用归档】</w:t>
      </w:r>
      <w:r>
        <w:rPr>
          <w:rFonts w:hint="default" w:ascii="Times New Roman" w:hAnsi="Times New Roman" w:cs="Times New Roman"/>
          <w:szCs w:val="32"/>
        </w:rPr>
        <w:t>信用主体对医疗保障信用评价初评结果无异议或完成异议申诉处理的，评价机构应形成正式的医疗保障信用评价结果，并记入信用主体的信用档案。</w:t>
      </w:r>
    </w:p>
    <w:p>
      <w:pPr>
        <w:pStyle w:val="5"/>
        <w:spacing w:beforeAutospacing="0" w:afterAutospacing="0" w:line="560" w:lineRule="exact"/>
        <w:ind w:firstLine="640" w:firstLineChars="200"/>
        <w:jc w:val="both"/>
        <w:rPr>
          <w:rFonts w:hint="default" w:ascii="Times New Roman" w:hAnsi="Times New Roman" w:eastAsia="仿宋_GB2312" w:cs="Times New Roman"/>
          <w:sz w:val="32"/>
          <w:szCs w:val="32"/>
        </w:rPr>
      </w:pPr>
    </w:p>
    <w:p>
      <w:pPr>
        <w:spacing w:line="560" w:lineRule="exact"/>
        <w:ind w:firstLine="640" w:firstLineChars="200"/>
        <w:jc w:val="center"/>
        <w:outlineLvl w:val="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第四章  结果应用</w:t>
      </w:r>
    </w:p>
    <w:p>
      <w:pPr>
        <w:pStyle w:val="2"/>
        <w:spacing w:line="560" w:lineRule="exact"/>
        <w:ind w:firstLine="640" w:firstLineChars="200"/>
        <w:rPr>
          <w:rFonts w:hint="default" w:ascii="Times New Roman" w:hAnsi="Times New Roman" w:cs="Times New Roman"/>
          <w:szCs w:val="32"/>
        </w:rPr>
      </w:pPr>
    </w:p>
    <w:p>
      <w:pPr>
        <w:ind w:firstLine="640" w:firstLineChars="200"/>
        <w:rPr>
          <w:rFonts w:hint="default" w:ascii="Times New Roman" w:hAnsi="Times New Roman" w:eastAsia="微软雅黑" w:cs="Times New Roman"/>
          <w:kern w:val="0"/>
          <w:sz w:val="24"/>
          <w:shd w:val="clear" w:color="auto" w:fill="FFFFFF"/>
        </w:rPr>
      </w:pPr>
      <w:r>
        <w:rPr>
          <w:rFonts w:hint="default" w:ascii="Times New Roman" w:hAnsi="Times New Roman" w:eastAsia="黑体" w:cs="Times New Roman"/>
          <w:bCs/>
          <w:sz w:val="32"/>
          <w:szCs w:val="32"/>
        </w:rPr>
        <w:t>第二十条【信用信息应用】</w:t>
      </w:r>
      <w:r>
        <w:rPr>
          <w:rFonts w:hint="default" w:ascii="Times New Roman" w:hAnsi="Times New Roman" w:eastAsia="仿宋_GB2312" w:cs="Times New Roman"/>
          <w:sz w:val="32"/>
          <w:szCs w:val="32"/>
        </w:rPr>
        <w:t>各级医疗保障部门应当在行政许可、资质等级评定、政府采购、政府投资工程招投标、财政资金补助、日常监督管理、表彰奖励、医疗保障工作人员招录等工作中，按照有关规定应用医疗保障信用信息。</w:t>
      </w:r>
    </w:p>
    <w:p>
      <w:pPr>
        <w:pStyle w:val="5"/>
        <w:spacing w:beforeAutospacing="0" w:afterAutospacing="0" w:line="560" w:lineRule="exact"/>
        <w:ind w:firstLine="640" w:firstLineChars="200"/>
        <w:jc w:val="both"/>
        <w:rPr>
          <w:rFonts w:hint="default" w:ascii="Times New Roman" w:hAnsi="Times New Roman" w:eastAsia="黑体" w:cs="Times New Roman"/>
          <w:bCs/>
          <w:kern w:val="2"/>
          <w:sz w:val="32"/>
          <w:szCs w:val="32"/>
        </w:rPr>
      </w:pPr>
      <w:r>
        <w:rPr>
          <w:rFonts w:hint="default" w:ascii="Times New Roman" w:hAnsi="Times New Roman" w:eastAsia="仿宋_GB2312" w:cs="Times New Roman"/>
          <w:sz w:val="32"/>
          <w:szCs w:val="32"/>
        </w:rPr>
        <w:t>各级医疗保障部门应建立以信用为基础的新型监管机制，实施分级分类监管。在“双随机、一公开”监管中引用信用评价结果，对于等级不同的信用主体确定不同抽查比例，针对不同信用主体采取不同的激励、惩戒措施。</w:t>
      </w:r>
    </w:p>
    <w:p>
      <w:pPr>
        <w:pStyle w:val="5"/>
        <w:spacing w:beforeAutospacing="0" w:afterAutospacing="0" w:line="56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黑体" w:cs="Times New Roman"/>
          <w:bCs/>
          <w:kern w:val="2"/>
          <w:sz w:val="32"/>
          <w:szCs w:val="32"/>
        </w:rPr>
        <w:t>第二十一条【激励惩戒措施的适当性】</w:t>
      </w:r>
      <w:r>
        <w:rPr>
          <w:rFonts w:hint="default" w:ascii="Times New Roman" w:hAnsi="Times New Roman" w:eastAsia="仿宋" w:cs="Times New Roman"/>
          <w:color w:val="000000"/>
          <w:sz w:val="32"/>
          <w:szCs w:val="32"/>
        </w:rPr>
        <w:t>医疗保障部门应将信用评价结果与预算管理、检查稽核、定点协议管理等相关联，依法依规实施守信联合激励和失信联合惩戒。</w:t>
      </w:r>
      <w:r>
        <w:rPr>
          <w:rFonts w:hint="default" w:ascii="Times New Roman" w:hAnsi="Times New Roman" w:eastAsia="仿宋_GB2312" w:cs="Times New Roman"/>
          <w:sz w:val="32"/>
          <w:szCs w:val="32"/>
        </w:rPr>
        <w:t>对信用主体实施的守信激励措施，应当与守信行为、社会贡献程度相适应。对失信主体采取惩戒措施应当遵循合法、关联、比例原则，与失信主体失信行为相关联，与其失信行为的性质、情节以及社会影响程度相适应，依照失信惩戒措施清单采取轻重适度的惩戒措施，确保过惩相当。</w:t>
      </w:r>
    </w:p>
    <w:p>
      <w:pPr>
        <w:pStyle w:val="2"/>
        <w:ind w:firstLine="640" w:firstLineChars="200"/>
        <w:rPr>
          <w:rFonts w:hint="default" w:ascii="Times New Roman" w:hAnsi="Times New Roman" w:cs="Times New Roman"/>
          <w:kern w:val="0"/>
          <w:szCs w:val="32"/>
        </w:rPr>
      </w:pPr>
      <w:r>
        <w:rPr>
          <w:rFonts w:hint="default" w:ascii="Times New Roman" w:hAnsi="Times New Roman" w:cs="Times New Roman"/>
          <w:kern w:val="0"/>
          <w:szCs w:val="32"/>
        </w:rPr>
        <w:t>对轻微偶发失信行为及时改正或者采取补救措施，没有造成社会危害后果，免于失信惩戒的，可以采取适当方式给予提醒。</w:t>
      </w:r>
    </w:p>
    <w:p>
      <w:pPr>
        <w:pStyle w:val="5"/>
        <w:spacing w:beforeAutospacing="0" w:afterAutospacing="0" w:line="56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黑体" w:cs="Times New Roman"/>
          <w:bCs/>
          <w:kern w:val="2"/>
          <w:sz w:val="32"/>
          <w:szCs w:val="32"/>
        </w:rPr>
        <w:t>第二十二条【信用联动管理】</w:t>
      </w:r>
      <w:r>
        <w:rPr>
          <w:rFonts w:hint="default" w:ascii="Times New Roman" w:hAnsi="Times New Roman" w:eastAsia="仿宋_GB2312" w:cs="Times New Roman"/>
          <w:sz w:val="32"/>
          <w:szCs w:val="32"/>
        </w:rPr>
        <w:t>医疗保障部门应积极参与社会信用体系建设，加强与发展改革、法院、人力资源社会保障、卫生健康、税务、市场监管、湖南省公共资源交易中心等部门的联系，建立信用信息共享机制，推动医疗保障信用与其他社会信用联动管理。</w:t>
      </w:r>
    </w:p>
    <w:p>
      <w:pPr>
        <w:spacing w:line="560" w:lineRule="exact"/>
        <w:outlineLvl w:val="0"/>
        <w:rPr>
          <w:rFonts w:hint="default" w:ascii="Times New Roman" w:hAnsi="Times New Roman" w:eastAsia="黑体" w:cs="Times New Roman"/>
          <w:sz w:val="32"/>
          <w:szCs w:val="32"/>
        </w:rPr>
      </w:pPr>
      <w:bookmarkStart w:id="3" w:name="_Toc54079396"/>
    </w:p>
    <w:p>
      <w:pPr>
        <w:spacing w:line="560" w:lineRule="exact"/>
        <w:ind w:firstLine="640" w:firstLineChars="200"/>
        <w:jc w:val="center"/>
        <w:outlineLvl w:val="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第五章  信用</w:t>
      </w:r>
      <w:bookmarkEnd w:id="3"/>
      <w:r>
        <w:rPr>
          <w:rFonts w:hint="default" w:ascii="Times New Roman" w:hAnsi="Times New Roman" w:eastAsia="黑体" w:cs="Times New Roman"/>
          <w:sz w:val="32"/>
          <w:szCs w:val="32"/>
        </w:rPr>
        <w:t>修复</w:t>
      </w:r>
    </w:p>
    <w:p>
      <w:pPr>
        <w:pStyle w:val="5"/>
        <w:shd w:val="clear" w:color="auto" w:fill="FFFFFF"/>
        <w:spacing w:beforeAutospacing="0" w:afterAutospacing="0" w:line="560" w:lineRule="exact"/>
        <w:jc w:val="both"/>
        <w:rPr>
          <w:rFonts w:hint="default" w:ascii="Times New Roman" w:hAnsi="Times New Roman" w:eastAsia="仿宋_GB2312" w:cs="Times New Roman"/>
          <w:sz w:val="32"/>
          <w:szCs w:val="32"/>
        </w:rPr>
      </w:pPr>
    </w:p>
    <w:p>
      <w:pPr>
        <w:pStyle w:val="5"/>
        <w:spacing w:beforeAutospacing="0" w:afterAutospacing="0" w:line="560" w:lineRule="exact"/>
        <w:ind w:firstLine="640" w:firstLineChars="200"/>
        <w:jc w:val="both"/>
        <w:rPr>
          <w:rFonts w:hint="default" w:ascii="Times New Roman" w:hAnsi="Times New Roman" w:cs="Times New Roman"/>
        </w:rPr>
      </w:pPr>
      <w:r>
        <w:rPr>
          <w:rFonts w:hint="default" w:ascii="Times New Roman" w:hAnsi="Times New Roman" w:eastAsia="黑体" w:cs="Times New Roman"/>
          <w:bCs/>
          <w:kern w:val="2"/>
          <w:sz w:val="32"/>
          <w:szCs w:val="32"/>
        </w:rPr>
        <w:t>第二十三条【信用修复定义】</w:t>
      </w:r>
      <w:r>
        <w:rPr>
          <w:rFonts w:hint="default" w:ascii="Times New Roman" w:hAnsi="Times New Roman" w:eastAsia="仿宋_GB2312" w:cs="Times New Roman"/>
          <w:sz w:val="32"/>
          <w:szCs w:val="32"/>
        </w:rPr>
        <w:t>信用修复是指失信的信用主体主动纠正失信行为，消除不良社会影响，符合规定条件，按照规定程序，依申请获准停止失信记录公示和重塑信用的行为。</w:t>
      </w:r>
    </w:p>
    <w:p>
      <w:pPr>
        <w:pStyle w:val="5"/>
        <w:spacing w:beforeAutospacing="0" w:afterAutospacing="0" w:line="56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黑体" w:cs="Times New Roman"/>
          <w:bCs/>
          <w:kern w:val="2"/>
          <w:sz w:val="32"/>
          <w:szCs w:val="32"/>
        </w:rPr>
        <w:t>第二十四条【信用修复条件】</w:t>
      </w:r>
      <w:r>
        <w:rPr>
          <w:rFonts w:hint="default" w:ascii="Times New Roman" w:hAnsi="Times New Roman" w:eastAsia="仿宋_GB2312" w:cs="Times New Roman"/>
          <w:sz w:val="32"/>
          <w:szCs w:val="32"/>
        </w:rPr>
        <w:t>信用主体在失信信息公示期限内同时符合下列条件的，可以向作出信用评价的医疗保障行政部门提出信用修复申请：</w:t>
      </w:r>
    </w:p>
    <w:p>
      <w:pPr>
        <w:pStyle w:val="5"/>
        <w:spacing w:beforeAutospacing="0" w:afterAutospacing="0" w:line="56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（一）失信的信用主体被评为信用失信之日起公开满6个月的；</w:t>
      </w:r>
    </w:p>
    <w:p>
      <w:pPr>
        <w:pStyle w:val="5"/>
        <w:numPr>
          <w:ilvl w:val="255"/>
          <w:numId w:val="0"/>
        </w:numPr>
        <w:spacing w:beforeAutospacing="0" w:afterAutospacing="0" w:line="56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（二）失信的信用主体已对失信行为进行纠正，按照法律、法规、规章等有关规定履行完毕法定责任或者约定义务，失信行为的不良影响已基本消除；</w:t>
      </w:r>
    </w:p>
    <w:p>
      <w:pPr>
        <w:pStyle w:val="5"/>
        <w:numPr>
          <w:ilvl w:val="255"/>
          <w:numId w:val="0"/>
        </w:numPr>
        <w:spacing w:beforeAutospacing="0" w:afterAutospacing="0" w:line="56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（三）失信的信用主体在公开期间无新增不良信用记录；</w:t>
      </w:r>
    </w:p>
    <w:p>
      <w:pPr>
        <w:pStyle w:val="5"/>
        <w:numPr>
          <w:ilvl w:val="255"/>
          <w:numId w:val="0"/>
        </w:numPr>
        <w:spacing w:beforeAutospacing="0" w:afterAutospacing="0" w:line="56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（四）法律、法规、规章等另有规定的从其规定。</w:t>
      </w:r>
    </w:p>
    <w:p>
      <w:pPr>
        <w:pStyle w:val="5"/>
        <w:spacing w:beforeAutospacing="0" w:afterAutospacing="0" w:line="56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黑体" w:cs="Times New Roman"/>
          <w:bCs/>
          <w:kern w:val="2"/>
          <w:sz w:val="32"/>
          <w:szCs w:val="32"/>
        </w:rPr>
        <w:t>第二十五条【信用修复程序】</w:t>
      </w:r>
      <w:r>
        <w:rPr>
          <w:rFonts w:hint="default" w:ascii="Times New Roman" w:hAnsi="Times New Roman" w:eastAsia="仿宋_GB2312" w:cs="Times New Roman"/>
          <w:sz w:val="32"/>
          <w:szCs w:val="32"/>
        </w:rPr>
        <w:t>失信主体向做出信用评价的医疗保障行政部门提出信用修复申请应当同时提交下列材料：</w:t>
      </w:r>
    </w:p>
    <w:p>
      <w:pPr>
        <w:pStyle w:val="5"/>
        <w:spacing w:beforeAutospacing="0" w:afterAutospacing="0" w:line="56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（一）信用修复申请表（附件3）；</w:t>
      </w:r>
    </w:p>
    <w:p>
      <w:pPr>
        <w:pStyle w:val="5"/>
        <w:spacing w:beforeAutospacing="0" w:afterAutospacing="0" w:line="56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（二）违法违规行为纠正、整改情况的相关证明材料。</w:t>
      </w:r>
    </w:p>
    <w:p>
      <w:pPr>
        <w:pStyle w:val="5"/>
        <w:spacing w:beforeAutospacing="0" w:afterAutospacing="0" w:line="56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作出失信认定的医疗保障信用工作主管部门应当在受理信用主体信用修复申请后 10 个工作日内作出处理意见（附件4），情况复杂的可以延长至 30 个工作日。对于符合信用修复条件的予以修复，并在官方网站进行公示，公示期限为5 个工作日。不符合信用修复条件的不予修复，并书面告知。公示期满无异议的，按程序信用修复，书面告知信用主体。</w:t>
      </w:r>
    </w:p>
    <w:p>
      <w:pPr>
        <w:pStyle w:val="5"/>
        <w:spacing w:beforeAutospacing="0" w:afterAutospacing="0" w:line="560" w:lineRule="exact"/>
        <w:ind w:firstLine="640" w:firstLineChars="200"/>
        <w:jc w:val="both"/>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信用修复生效的，撤销对信用主体失信记录的公示，但不撤销失信记录。</w:t>
      </w:r>
    </w:p>
    <w:p>
      <w:pPr>
        <w:spacing w:line="560" w:lineRule="exact"/>
        <w:ind w:firstLine="640" w:firstLineChars="200"/>
        <w:jc w:val="center"/>
        <w:outlineLvl w:val="0"/>
        <w:rPr>
          <w:rFonts w:hint="default" w:ascii="Times New Roman" w:hAnsi="Times New Roman" w:eastAsia="黑体" w:cs="Times New Roman"/>
          <w:sz w:val="32"/>
          <w:szCs w:val="32"/>
        </w:rPr>
      </w:pPr>
    </w:p>
    <w:p>
      <w:pPr>
        <w:spacing w:line="560" w:lineRule="exact"/>
        <w:ind w:firstLine="640" w:firstLineChars="200"/>
        <w:jc w:val="center"/>
        <w:outlineLvl w:val="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 xml:space="preserve"> 第六章  法律责任</w:t>
      </w:r>
    </w:p>
    <w:p>
      <w:pPr>
        <w:pStyle w:val="5"/>
        <w:spacing w:beforeAutospacing="0" w:afterAutospacing="0" w:line="560" w:lineRule="exact"/>
        <w:jc w:val="both"/>
        <w:rPr>
          <w:rFonts w:hint="default" w:ascii="Times New Roman" w:hAnsi="Times New Roman" w:eastAsia="黑体" w:cs="Times New Roman"/>
          <w:bCs/>
          <w:kern w:val="2"/>
          <w:sz w:val="32"/>
          <w:szCs w:val="32"/>
        </w:rPr>
      </w:pPr>
    </w:p>
    <w:p>
      <w:pPr>
        <w:ind w:firstLine="640" w:firstLineChars="200"/>
        <w:rPr>
          <w:rFonts w:hint="default" w:ascii="Times New Roman" w:hAnsi="Times New Roman" w:eastAsia="仿宋_GB2312" w:cs="Times New Roman"/>
          <w:sz w:val="32"/>
          <w:szCs w:val="32"/>
        </w:rPr>
      </w:pPr>
      <w:r>
        <w:rPr>
          <w:rFonts w:hint="default" w:ascii="Times New Roman" w:hAnsi="Times New Roman" w:eastAsia="黑体" w:cs="Times New Roman"/>
          <w:bCs/>
          <w:sz w:val="32"/>
          <w:szCs w:val="32"/>
        </w:rPr>
        <w:t>第二十六条【工作人员的法律责任】</w:t>
      </w:r>
      <w:r>
        <w:rPr>
          <w:rFonts w:hint="default" w:ascii="Times New Roman" w:hAnsi="Times New Roman" w:eastAsia="仿宋_GB2312" w:cs="Times New Roman"/>
          <w:sz w:val="32"/>
          <w:szCs w:val="32"/>
        </w:rPr>
        <w:t>医疗保障部门及其工作人员违反本条例规定，有下列行为之一，由本级人民政府或者上级机关责令改正；情节严重的，对直接负责的主管人员和其他直接责任人员依法给予处分：</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（一）未按照规定建立信息安全管理和保密制度，履行信息安全管理职责，危害医疗保障信用信息安全的；</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（二）未按照规定履行归集、公开、共享、查询医疗保障信用信息职责，或者在医疗保障信用信息目录外违法违规记录、公开、共享医疗保障信用信息的；</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（三）未按照规定实施守信激励和失信惩戒措施，或者在失信惩戒措施清单外违法违规实施惩戒措施，或者加重惩戒的；</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（四）未按照认定标准和认定程序擅自认定严重失信主体名单的；</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（五）未按照规定履行异议处理、信用修复职责的；</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（六）其他滥用职权、徇私舞弊、玩忽职守的。</w:t>
      </w:r>
    </w:p>
    <w:p>
      <w:pPr>
        <w:ind w:firstLine="640" w:firstLineChars="200"/>
        <w:rPr>
          <w:rFonts w:hint="default" w:ascii="Times New Roman" w:hAnsi="Times New Roman" w:eastAsia="仿宋_GB2312" w:cs="Times New Roman"/>
          <w:sz w:val="32"/>
          <w:szCs w:val="32"/>
        </w:rPr>
      </w:pPr>
      <w:r>
        <w:rPr>
          <w:rFonts w:hint="default" w:ascii="Times New Roman" w:hAnsi="Times New Roman" w:eastAsia="黑体" w:cs="Times New Roman"/>
          <w:bCs/>
          <w:sz w:val="32"/>
          <w:szCs w:val="32"/>
        </w:rPr>
        <w:t>第二十七条【兜底条款】</w:t>
      </w:r>
      <w:r>
        <w:rPr>
          <w:rFonts w:hint="default" w:ascii="Times New Roman" w:hAnsi="Times New Roman" w:eastAsia="仿宋_GB2312" w:cs="Times New Roman"/>
          <w:sz w:val="32"/>
          <w:szCs w:val="32"/>
        </w:rPr>
        <w:t>在医疗保障信用信息归集、采集、公开、共享、查询和应用等过程中，损害信用主体合法权益的，应当依法承担民事责任；构成犯罪的，依法追究刑事责任。</w:t>
      </w:r>
    </w:p>
    <w:p>
      <w:pPr>
        <w:pStyle w:val="5"/>
        <w:spacing w:beforeAutospacing="0" w:afterAutospacing="0" w:line="560" w:lineRule="exact"/>
        <w:ind w:firstLine="640" w:firstLineChars="200"/>
        <w:jc w:val="both"/>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违反本办法规定，法律、法规等已有处罚规定的，从其规定。</w:t>
      </w:r>
    </w:p>
    <w:p>
      <w:pPr>
        <w:pStyle w:val="5"/>
        <w:spacing w:beforeAutospacing="0" w:afterAutospacing="0" w:line="560" w:lineRule="exact"/>
        <w:ind w:firstLine="640" w:firstLineChars="200"/>
        <w:jc w:val="both"/>
        <w:rPr>
          <w:rFonts w:hint="default" w:ascii="Times New Roman" w:hAnsi="Times New Roman" w:eastAsia="仿宋" w:cs="Times New Roman"/>
          <w:sz w:val="32"/>
          <w:szCs w:val="32"/>
        </w:rPr>
      </w:pPr>
    </w:p>
    <w:p>
      <w:pPr>
        <w:spacing w:line="560" w:lineRule="exact"/>
        <w:ind w:firstLine="640" w:firstLineChars="200"/>
        <w:jc w:val="center"/>
        <w:outlineLvl w:val="0"/>
        <w:rPr>
          <w:rFonts w:hint="default" w:ascii="Times New Roman" w:hAnsi="Times New Roman" w:eastAsia="黑体" w:cs="Times New Roman"/>
          <w:sz w:val="32"/>
          <w:szCs w:val="32"/>
        </w:rPr>
      </w:pPr>
      <w:bookmarkStart w:id="4" w:name="_Toc54079398"/>
      <w:r>
        <w:rPr>
          <w:rFonts w:hint="default" w:ascii="Times New Roman" w:hAnsi="Times New Roman" w:eastAsia="黑体" w:cs="Times New Roman"/>
          <w:sz w:val="32"/>
          <w:szCs w:val="32"/>
        </w:rPr>
        <w:t>第</w:t>
      </w:r>
      <w:r>
        <w:rPr>
          <w:rFonts w:hint="default" w:ascii="Times New Roman" w:hAnsi="Times New Roman" w:eastAsia="黑体" w:cs="Times New Roman"/>
          <w:sz w:val="32"/>
          <w:szCs w:val="32"/>
          <w:lang w:eastAsia="zh-CN"/>
        </w:rPr>
        <w:t>七</w:t>
      </w:r>
      <w:r>
        <w:rPr>
          <w:rFonts w:hint="default" w:ascii="Times New Roman" w:hAnsi="Times New Roman" w:eastAsia="黑体" w:cs="Times New Roman"/>
          <w:sz w:val="32"/>
          <w:szCs w:val="32"/>
        </w:rPr>
        <w:t>章  附  则</w:t>
      </w:r>
      <w:bookmarkEnd w:id="4"/>
    </w:p>
    <w:p>
      <w:pPr>
        <w:spacing w:line="560" w:lineRule="exact"/>
        <w:ind w:firstLine="640" w:firstLineChars="200"/>
        <w:jc w:val="center"/>
        <w:outlineLvl w:val="0"/>
        <w:rPr>
          <w:rFonts w:hint="default" w:ascii="Times New Roman" w:hAnsi="Times New Roman" w:eastAsia="黑体" w:cs="Times New Roman"/>
          <w:sz w:val="32"/>
          <w:szCs w:val="32"/>
        </w:rPr>
      </w:pPr>
    </w:p>
    <w:p>
      <w:pPr>
        <w:pStyle w:val="5"/>
        <w:spacing w:beforeAutospacing="0" w:afterAutospacing="0" w:line="560" w:lineRule="exact"/>
        <w:ind w:firstLine="640" w:firstLineChars="200"/>
        <w:rPr>
          <w:rFonts w:hint="default" w:ascii="Times New Roman" w:hAnsi="Times New Roman" w:eastAsia="仿宋_GB2312" w:cs="Times New Roman"/>
          <w:kern w:val="2"/>
          <w:sz w:val="32"/>
          <w:szCs w:val="32"/>
        </w:rPr>
      </w:pPr>
      <w:r>
        <w:rPr>
          <w:rFonts w:hint="default" w:ascii="Times New Roman" w:hAnsi="Times New Roman" w:eastAsia="黑体" w:cs="Times New Roman"/>
          <w:bCs/>
          <w:kern w:val="2"/>
          <w:sz w:val="32"/>
          <w:szCs w:val="32"/>
        </w:rPr>
        <w:t>第二十八条【办法解释机构】</w:t>
      </w:r>
      <w:r>
        <w:rPr>
          <w:rFonts w:hint="default" w:ascii="Times New Roman" w:hAnsi="Times New Roman" w:eastAsia="仿宋_GB2312" w:cs="Times New Roman"/>
          <w:kern w:val="2"/>
          <w:sz w:val="32"/>
          <w:szCs w:val="32"/>
        </w:rPr>
        <w:t>本办法由湖南省医疗保障局负责解释。相关法律法规及国家医疗保障行政部门另有规定的，从其规定。</w:t>
      </w:r>
    </w:p>
    <w:p>
      <w:pPr>
        <w:widowControl/>
        <w:tabs>
          <w:tab w:val="left" w:pos="839"/>
        </w:tabs>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黑体" w:cs="Times New Roman"/>
          <w:bCs/>
          <w:sz w:val="32"/>
          <w:szCs w:val="32"/>
        </w:rPr>
        <w:t>第二十九条【生效日期】</w:t>
      </w:r>
      <w:bookmarkEnd w:id="0"/>
      <w:r>
        <w:rPr>
          <w:rFonts w:hint="default" w:ascii="Times New Roman" w:hAnsi="Times New Roman" w:eastAsia="仿宋_GB2312" w:cs="Times New Roman"/>
          <w:sz w:val="32"/>
          <w:szCs w:val="32"/>
        </w:rPr>
        <w:t>本办法自2021年11月1日起施行，有效期2年。</w:t>
      </w:r>
    </w:p>
    <w:p>
      <w:pPr>
        <w:pStyle w:val="2"/>
        <w:rPr>
          <w:rFonts w:hint="default" w:ascii="Times New Roman" w:hAnsi="Times New Roman" w:cs="Times New Roman"/>
          <w:szCs w:val="32"/>
        </w:rPr>
      </w:pPr>
    </w:p>
    <w:p>
      <w:pPr>
        <w:pStyle w:val="2"/>
        <w:rPr>
          <w:rFonts w:hint="default" w:ascii="Times New Roman" w:hAnsi="Times New Roman" w:eastAsia="微软雅黑" w:cs="Times New Roman"/>
          <w:kern w:val="0"/>
          <w:sz w:val="27"/>
          <w:szCs w:val="27"/>
        </w:rPr>
      </w:pPr>
    </w:p>
    <w:p>
      <w:pPr>
        <w:widowControl/>
        <w:shd w:val="clear" w:color="auto" w:fill="FFFFFF"/>
        <w:spacing w:line="720" w:lineRule="atLeast"/>
        <w:jc w:val="left"/>
        <w:rPr>
          <w:rFonts w:hint="default" w:ascii="Times New Roman" w:hAnsi="Times New Roman" w:eastAsia="黑体" w:cs="Times New Roman"/>
          <w:kern w:val="0"/>
          <w:sz w:val="32"/>
          <w:szCs w:val="32"/>
          <w:lang w:val="en-US" w:eastAsia="zh-CN"/>
        </w:rPr>
      </w:pPr>
      <w:r>
        <w:rPr>
          <w:rFonts w:hint="default" w:ascii="Times New Roman" w:hAnsi="Times New Roman" w:eastAsia="黑体" w:cs="Times New Roman"/>
          <w:kern w:val="0"/>
          <w:sz w:val="32"/>
          <w:szCs w:val="32"/>
        </w:rPr>
        <w:t>附件1</w:t>
      </w:r>
    </w:p>
    <w:p>
      <w:pPr>
        <w:spacing w:line="560" w:lineRule="exact"/>
        <w:jc w:val="center"/>
        <w:outlineLvl w:val="0"/>
        <w:rPr>
          <w:rFonts w:hint="default" w:ascii="Times New Roman" w:hAnsi="Times New Roman" w:eastAsia="黑体" w:cs="Times New Roman"/>
          <w:b/>
          <w:bCs/>
          <w:sz w:val="36"/>
          <w:szCs w:val="36"/>
        </w:rPr>
      </w:pPr>
    </w:p>
    <w:p>
      <w:pPr>
        <w:spacing w:line="560" w:lineRule="exact"/>
        <w:jc w:val="center"/>
        <w:outlineLvl w:val="0"/>
        <w:rPr>
          <w:rFonts w:hint="default" w:ascii="Times New Roman" w:hAnsi="Times New Roman" w:eastAsia="方正小标宋_GBK" w:cs="Times New Roman"/>
          <w:b w:val="0"/>
          <w:bCs w:val="0"/>
          <w:sz w:val="44"/>
          <w:szCs w:val="44"/>
        </w:rPr>
      </w:pPr>
      <w:r>
        <w:rPr>
          <w:rFonts w:hint="default" w:ascii="Times New Roman" w:hAnsi="Times New Roman" w:eastAsia="方正小标宋_GBK" w:cs="Times New Roman"/>
          <w:b w:val="0"/>
          <w:bCs w:val="0"/>
          <w:sz w:val="44"/>
          <w:szCs w:val="44"/>
        </w:rPr>
        <w:t>湖南省医疗保障信用异议信息处理申请表</w:t>
      </w:r>
    </w:p>
    <w:p>
      <w:pPr>
        <w:pStyle w:val="2"/>
        <w:rPr>
          <w:rFonts w:hint="default" w:ascii="Times New Roman" w:hAnsi="Times New Roman" w:cs="Times New Roman"/>
        </w:rPr>
      </w:pPr>
    </w:p>
    <w:tbl>
      <w:tblPr>
        <w:tblStyle w:val="6"/>
        <w:tblW w:w="8719" w:type="dxa"/>
        <w:jc w:val="center"/>
        <w:shd w:val="clear" w:color="auto" w:fill="FFFFFF"/>
        <w:tblLayout w:type="fixed"/>
        <w:tblCellMar>
          <w:top w:w="0" w:type="dxa"/>
          <w:left w:w="0" w:type="dxa"/>
          <w:bottom w:w="0" w:type="dxa"/>
          <w:right w:w="0" w:type="dxa"/>
        </w:tblCellMar>
      </w:tblPr>
      <w:tblGrid>
        <w:gridCol w:w="1903"/>
        <w:gridCol w:w="1826"/>
        <w:gridCol w:w="1103"/>
        <w:gridCol w:w="3887"/>
      </w:tblGrid>
      <w:tr>
        <w:tblPrEx>
          <w:shd w:val="clear" w:color="auto" w:fill="FFFFFF"/>
          <w:tblCellMar>
            <w:top w:w="0" w:type="dxa"/>
            <w:left w:w="0" w:type="dxa"/>
            <w:bottom w:w="0" w:type="dxa"/>
            <w:right w:w="0" w:type="dxa"/>
          </w:tblCellMar>
        </w:tblPrEx>
        <w:trPr>
          <w:trHeight w:val="1089" w:hRule="atLeast"/>
          <w:jc w:val="center"/>
        </w:trPr>
        <w:tc>
          <w:tcPr>
            <w:tcW w:w="1903" w:type="dxa"/>
            <w:tcBorders>
              <w:top w:val="single" w:color="auto" w:sz="8" w:space="0"/>
              <w:left w:val="single" w:color="auto" w:sz="8" w:space="0"/>
              <w:bottom w:val="single" w:color="auto" w:sz="8" w:space="0"/>
              <w:right w:val="single" w:color="auto" w:sz="8" w:space="0"/>
            </w:tcBorders>
            <w:shd w:val="clear" w:color="auto" w:fill="FFFFFF"/>
            <w:vAlign w:val="center"/>
          </w:tcPr>
          <w:p>
            <w:pPr>
              <w:widowControl/>
              <w:spacing w:line="720" w:lineRule="atLeast"/>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申请单位（人）</w:t>
            </w:r>
          </w:p>
        </w:tc>
        <w:tc>
          <w:tcPr>
            <w:tcW w:w="6816" w:type="dxa"/>
            <w:gridSpan w:val="3"/>
            <w:tcBorders>
              <w:top w:val="single" w:color="auto" w:sz="8" w:space="0"/>
              <w:left w:val="nil"/>
              <w:bottom w:val="single" w:color="auto" w:sz="8" w:space="0"/>
              <w:right w:val="single" w:color="000000" w:sz="6" w:space="0"/>
            </w:tcBorders>
            <w:shd w:val="clear" w:color="auto" w:fill="FFFFFF"/>
            <w:vAlign w:val="center"/>
          </w:tcPr>
          <w:p>
            <w:pPr>
              <w:widowControl/>
              <w:spacing w:line="336" w:lineRule="atLeast"/>
              <w:jc w:val="left"/>
              <w:rPr>
                <w:rFonts w:hint="default" w:ascii="Times New Roman" w:hAnsi="Times New Roman" w:eastAsia="宋体" w:cs="Times New Roman"/>
                <w:kern w:val="0"/>
                <w:sz w:val="24"/>
                <w:szCs w:val="24"/>
              </w:rPr>
            </w:pPr>
          </w:p>
        </w:tc>
      </w:tr>
      <w:tr>
        <w:tblPrEx>
          <w:shd w:val="clear" w:color="auto" w:fill="FFFFFF"/>
          <w:tblCellMar>
            <w:top w:w="0" w:type="dxa"/>
            <w:left w:w="0" w:type="dxa"/>
            <w:bottom w:w="0" w:type="dxa"/>
            <w:right w:w="0" w:type="dxa"/>
          </w:tblCellMar>
        </w:tblPrEx>
        <w:trPr>
          <w:trHeight w:val="975" w:hRule="atLeast"/>
          <w:jc w:val="center"/>
        </w:trPr>
        <w:tc>
          <w:tcPr>
            <w:tcW w:w="1903" w:type="dxa"/>
            <w:tcBorders>
              <w:top w:val="nil"/>
              <w:left w:val="single" w:color="auto" w:sz="8" w:space="0"/>
              <w:bottom w:val="single" w:color="auto" w:sz="8" w:space="0"/>
              <w:right w:val="single" w:color="auto" w:sz="8" w:space="0"/>
            </w:tcBorders>
            <w:shd w:val="clear" w:color="auto" w:fill="FFFFFF"/>
            <w:vAlign w:val="center"/>
          </w:tcPr>
          <w:p>
            <w:pPr>
              <w:widowControl/>
              <w:spacing w:line="336" w:lineRule="atLeast"/>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联系人</w:t>
            </w:r>
          </w:p>
        </w:tc>
        <w:tc>
          <w:tcPr>
            <w:tcW w:w="1826" w:type="dxa"/>
            <w:tcBorders>
              <w:top w:val="nil"/>
              <w:left w:val="nil"/>
              <w:bottom w:val="single" w:color="auto" w:sz="8" w:space="0"/>
              <w:right w:val="single" w:color="auto" w:sz="8" w:space="0"/>
            </w:tcBorders>
            <w:shd w:val="clear" w:color="auto" w:fill="FFFFFF"/>
            <w:vAlign w:val="center"/>
          </w:tcPr>
          <w:p>
            <w:pPr>
              <w:widowControl/>
              <w:spacing w:line="336" w:lineRule="atLeast"/>
              <w:jc w:val="left"/>
              <w:rPr>
                <w:rFonts w:hint="default" w:ascii="Times New Roman" w:hAnsi="Times New Roman" w:eastAsia="宋体" w:cs="Times New Roman"/>
                <w:kern w:val="0"/>
                <w:sz w:val="24"/>
                <w:szCs w:val="24"/>
              </w:rPr>
            </w:pPr>
          </w:p>
        </w:tc>
        <w:tc>
          <w:tcPr>
            <w:tcW w:w="1103" w:type="dxa"/>
            <w:tcBorders>
              <w:top w:val="nil"/>
              <w:left w:val="nil"/>
              <w:bottom w:val="single" w:color="auto" w:sz="8" w:space="0"/>
              <w:right w:val="single" w:color="auto" w:sz="8" w:space="0"/>
            </w:tcBorders>
            <w:shd w:val="clear" w:color="auto" w:fill="FFFFFF"/>
            <w:vAlign w:val="center"/>
          </w:tcPr>
          <w:p>
            <w:pPr>
              <w:widowControl/>
              <w:spacing w:line="336" w:lineRule="atLeast"/>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联系方式</w:t>
            </w:r>
          </w:p>
        </w:tc>
        <w:tc>
          <w:tcPr>
            <w:tcW w:w="3887" w:type="dxa"/>
            <w:tcBorders>
              <w:top w:val="nil"/>
              <w:left w:val="nil"/>
              <w:bottom w:val="single" w:color="auto" w:sz="8" w:space="0"/>
              <w:right w:val="single" w:color="auto" w:sz="8" w:space="0"/>
            </w:tcBorders>
            <w:shd w:val="clear" w:color="auto" w:fill="FFFFFF"/>
            <w:vAlign w:val="center"/>
          </w:tcPr>
          <w:p>
            <w:pPr>
              <w:widowControl/>
              <w:spacing w:line="336" w:lineRule="atLeast"/>
              <w:jc w:val="left"/>
              <w:rPr>
                <w:rFonts w:hint="default" w:ascii="Times New Roman" w:hAnsi="Times New Roman" w:eastAsia="宋体" w:cs="Times New Roman"/>
                <w:kern w:val="0"/>
                <w:sz w:val="24"/>
                <w:szCs w:val="24"/>
              </w:rPr>
            </w:pPr>
          </w:p>
        </w:tc>
      </w:tr>
      <w:tr>
        <w:tblPrEx>
          <w:shd w:val="clear" w:color="auto" w:fill="FFFFFF"/>
          <w:tblCellMar>
            <w:top w:w="0" w:type="dxa"/>
            <w:left w:w="0" w:type="dxa"/>
            <w:bottom w:w="0" w:type="dxa"/>
            <w:right w:w="0" w:type="dxa"/>
          </w:tblCellMar>
        </w:tblPrEx>
        <w:trPr>
          <w:trHeight w:val="1037" w:hRule="atLeast"/>
          <w:jc w:val="center"/>
        </w:trPr>
        <w:tc>
          <w:tcPr>
            <w:tcW w:w="1903" w:type="dxa"/>
            <w:tcBorders>
              <w:top w:val="nil"/>
              <w:left w:val="single" w:color="auto" w:sz="8" w:space="0"/>
              <w:bottom w:val="single" w:color="auto" w:sz="8" w:space="0"/>
              <w:right w:val="single" w:color="auto" w:sz="8" w:space="0"/>
            </w:tcBorders>
            <w:shd w:val="clear" w:color="auto" w:fill="FFFFFF"/>
            <w:vAlign w:val="center"/>
          </w:tcPr>
          <w:p>
            <w:pPr>
              <w:widowControl/>
              <w:spacing w:line="336" w:lineRule="atLeast"/>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异议信息描述</w:t>
            </w:r>
          </w:p>
        </w:tc>
        <w:tc>
          <w:tcPr>
            <w:tcW w:w="6816" w:type="dxa"/>
            <w:gridSpan w:val="3"/>
            <w:tcBorders>
              <w:top w:val="single" w:color="auto" w:sz="8" w:space="0"/>
              <w:left w:val="nil"/>
              <w:bottom w:val="single" w:color="auto" w:sz="8" w:space="0"/>
              <w:right w:val="single" w:color="000000" w:sz="6" w:space="0"/>
            </w:tcBorders>
            <w:shd w:val="clear" w:color="auto" w:fill="FFFFFF"/>
            <w:vAlign w:val="center"/>
          </w:tcPr>
          <w:p>
            <w:pPr>
              <w:widowControl/>
              <w:spacing w:line="336" w:lineRule="atLeast"/>
              <w:jc w:val="left"/>
              <w:rPr>
                <w:rFonts w:hint="default" w:ascii="Times New Roman" w:hAnsi="Times New Roman" w:eastAsia="宋体" w:cs="Times New Roman"/>
                <w:kern w:val="0"/>
                <w:sz w:val="24"/>
                <w:szCs w:val="24"/>
              </w:rPr>
            </w:pPr>
          </w:p>
        </w:tc>
      </w:tr>
      <w:tr>
        <w:tblPrEx>
          <w:shd w:val="clear" w:color="auto" w:fill="FFFFFF"/>
          <w:tblCellMar>
            <w:top w:w="0" w:type="dxa"/>
            <w:left w:w="0" w:type="dxa"/>
            <w:bottom w:w="0" w:type="dxa"/>
            <w:right w:w="0" w:type="dxa"/>
          </w:tblCellMar>
        </w:tblPrEx>
        <w:trPr>
          <w:trHeight w:val="691" w:hRule="atLeast"/>
          <w:jc w:val="center"/>
        </w:trPr>
        <w:tc>
          <w:tcPr>
            <w:tcW w:w="1903" w:type="dxa"/>
            <w:tcBorders>
              <w:top w:val="nil"/>
              <w:left w:val="single" w:color="auto" w:sz="8" w:space="0"/>
              <w:bottom w:val="nil"/>
              <w:right w:val="single" w:color="auto" w:sz="8" w:space="0"/>
            </w:tcBorders>
            <w:shd w:val="clear" w:color="auto" w:fill="FFFFFF"/>
            <w:vAlign w:val="center"/>
          </w:tcPr>
          <w:p>
            <w:pPr>
              <w:widowControl/>
              <w:spacing w:line="336" w:lineRule="atLeast"/>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申请理由</w:t>
            </w:r>
          </w:p>
        </w:tc>
        <w:tc>
          <w:tcPr>
            <w:tcW w:w="6816" w:type="dxa"/>
            <w:gridSpan w:val="3"/>
            <w:tcBorders>
              <w:top w:val="single" w:color="auto" w:sz="8" w:space="0"/>
              <w:left w:val="nil"/>
              <w:bottom w:val="nil"/>
              <w:right w:val="single" w:color="000000" w:sz="6" w:space="0"/>
            </w:tcBorders>
            <w:shd w:val="clear" w:color="auto" w:fill="FFFFFF"/>
            <w:vAlign w:val="center"/>
          </w:tcPr>
          <w:p>
            <w:pPr>
              <w:widowControl/>
              <w:spacing w:line="336" w:lineRule="atLeast"/>
              <w:jc w:val="right"/>
              <w:rPr>
                <w:rFonts w:hint="default" w:ascii="Times New Roman" w:hAnsi="Times New Roman" w:eastAsia="宋体" w:cs="Times New Roman"/>
                <w:kern w:val="0"/>
                <w:sz w:val="24"/>
                <w:szCs w:val="24"/>
              </w:rPr>
            </w:pPr>
          </w:p>
        </w:tc>
      </w:tr>
      <w:tr>
        <w:tblPrEx>
          <w:shd w:val="clear" w:color="auto" w:fill="FFFFFF"/>
          <w:tblCellMar>
            <w:top w:w="0" w:type="dxa"/>
            <w:left w:w="0" w:type="dxa"/>
            <w:bottom w:w="0" w:type="dxa"/>
            <w:right w:w="0" w:type="dxa"/>
          </w:tblCellMar>
        </w:tblPrEx>
        <w:trPr>
          <w:trHeight w:val="1000" w:hRule="atLeast"/>
          <w:jc w:val="center"/>
        </w:trPr>
        <w:tc>
          <w:tcPr>
            <w:tcW w:w="1903" w:type="dxa"/>
            <w:tcBorders>
              <w:top w:val="nil"/>
              <w:left w:val="single" w:color="auto" w:sz="8" w:space="0"/>
              <w:bottom w:val="nil"/>
              <w:right w:val="single" w:color="auto" w:sz="8" w:space="0"/>
            </w:tcBorders>
            <w:shd w:val="clear" w:color="auto" w:fill="FFFFFF"/>
            <w:vAlign w:val="center"/>
          </w:tcPr>
          <w:p>
            <w:pPr>
              <w:widowControl/>
              <w:spacing w:line="336" w:lineRule="atLeast"/>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（可附页）</w:t>
            </w:r>
          </w:p>
        </w:tc>
        <w:tc>
          <w:tcPr>
            <w:tcW w:w="6816" w:type="dxa"/>
            <w:gridSpan w:val="3"/>
            <w:tcBorders>
              <w:top w:val="nil"/>
              <w:left w:val="nil"/>
              <w:bottom w:val="nil"/>
              <w:right w:val="single" w:color="000000" w:sz="6" w:space="0"/>
            </w:tcBorders>
            <w:shd w:val="clear" w:color="auto" w:fill="FFFFFF"/>
            <w:vAlign w:val="center"/>
          </w:tcPr>
          <w:p>
            <w:pPr>
              <w:widowControl/>
              <w:spacing w:line="336" w:lineRule="atLeast"/>
              <w:jc w:val="right"/>
              <w:rPr>
                <w:rFonts w:hint="default" w:ascii="Times New Roman" w:hAnsi="Times New Roman" w:eastAsia="宋体" w:cs="Times New Roman"/>
                <w:kern w:val="0"/>
                <w:sz w:val="24"/>
                <w:szCs w:val="24"/>
              </w:rPr>
            </w:pPr>
          </w:p>
        </w:tc>
      </w:tr>
      <w:tr>
        <w:tblPrEx>
          <w:shd w:val="clear" w:color="auto" w:fill="FFFFFF"/>
          <w:tblCellMar>
            <w:top w:w="0" w:type="dxa"/>
            <w:left w:w="0" w:type="dxa"/>
            <w:bottom w:w="0" w:type="dxa"/>
            <w:right w:w="0" w:type="dxa"/>
          </w:tblCellMar>
        </w:tblPrEx>
        <w:trPr>
          <w:trHeight w:val="661" w:hRule="atLeast"/>
          <w:jc w:val="center"/>
        </w:trPr>
        <w:tc>
          <w:tcPr>
            <w:tcW w:w="1903" w:type="dxa"/>
            <w:tcBorders>
              <w:top w:val="nil"/>
              <w:left w:val="single" w:color="auto" w:sz="8" w:space="0"/>
              <w:bottom w:val="nil"/>
              <w:right w:val="single" w:color="auto" w:sz="8" w:space="0"/>
            </w:tcBorders>
            <w:shd w:val="clear" w:color="auto" w:fill="FFFFFF"/>
            <w:vAlign w:val="center"/>
          </w:tcPr>
          <w:p>
            <w:pPr>
              <w:widowControl/>
              <w:spacing w:line="336" w:lineRule="atLeast"/>
              <w:jc w:val="left"/>
              <w:rPr>
                <w:rFonts w:hint="default" w:ascii="Times New Roman" w:hAnsi="Times New Roman" w:eastAsia="宋体" w:cs="Times New Roman"/>
                <w:kern w:val="0"/>
                <w:sz w:val="24"/>
                <w:szCs w:val="24"/>
              </w:rPr>
            </w:pPr>
          </w:p>
        </w:tc>
        <w:tc>
          <w:tcPr>
            <w:tcW w:w="6816" w:type="dxa"/>
            <w:gridSpan w:val="3"/>
            <w:tcBorders>
              <w:top w:val="nil"/>
              <w:left w:val="nil"/>
              <w:bottom w:val="nil"/>
              <w:right w:val="single" w:color="000000" w:sz="6" w:space="0"/>
            </w:tcBorders>
            <w:shd w:val="clear" w:color="auto" w:fill="FFFFFF"/>
            <w:vAlign w:val="center"/>
          </w:tcPr>
          <w:p>
            <w:pPr>
              <w:widowControl/>
              <w:spacing w:line="336" w:lineRule="atLeast"/>
              <w:jc w:val="right"/>
              <w:rPr>
                <w:rFonts w:hint="default" w:ascii="Times New Roman" w:hAnsi="Times New Roman" w:eastAsia="宋体" w:cs="Times New Roman"/>
                <w:kern w:val="0"/>
                <w:sz w:val="24"/>
                <w:szCs w:val="24"/>
              </w:rPr>
            </w:pPr>
          </w:p>
        </w:tc>
      </w:tr>
      <w:tr>
        <w:tblPrEx>
          <w:shd w:val="clear" w:color="auto" w:fill="FFFFFF"/>
          <w:tblCellMar>
            <w:top w:w="0" w:type="dxa"/>
            <w:left w:w="0" w:type="dxa"/>
            <w:bottom w:w="0" w:type="dxa"/>
            <w:right w:w="0" w:type="dxa"/>
          </w:tblCellMar>
        </w:tblPrEx>
        <w:trPr>
          <w:trHeight w:val="686" w:hRule="atLeast"/>
          <w:jc w:val="center"/>
        </w:trPr>
        <w:tc>
          <w:tcPr>
            <w:tcW w:w="1903" w:type="dxa"/>
            <w:tcBorders>
              <w:top w:val="nil"/>
              <w:left w:val="single" w:color="auto" w:sz="8" w:space="0"/>
              <w:bottom w:val="nil"/>
              <w:right w:val="single" w:color="auto" w:sz="8" w:space="0"/>
            </w:tcBorders>
            <w:shd w:val="clear" w:color="auto" w:fill="FFFFFF"/>
            <w:vAlign w:val="center"/>
          </w:tcPr>
          <w:p>
            <w:pPr>
              <w:widowControl/>
              <w:spacing w:line="336" w:lineRule="atLeast"/>
              <w:jc w:val="left"/>
              <w:rPr>
                <w:rFonts w:hint="default" w:ascii="Times New Roman" w:hAnsi="Times New Roman" w:eastAsia="宋体" w:cs="Times New Roman"/>
                <w:kern w:val="0"/>
                <w:sz w:val="24"/>
                <w:szCs w:val="24"/>
              </w:rPr>
            </w:pPr>
          </w:p>
        </w:tc>
        <w:tc>
          <w:tcPr>
            <w:tcW w:w="6816" w:type="dxa"/>
            <w:gridSpan w:val="3"/>
            <w:tcBorders>
              <w:top w:val="nil"/>
              <w:left w:val="nil"/>
              <w:bottom w:val="nil"/>
              <w:right w:val="single" w:color="000000" w:sz="6" w:space="0"/>
            </w:tcBorders>
            <w:shd w:val="clear" w:color="auto" w:fill="FFFFFF"/>
            <w:vAlign w:val="center"/>
          </w:tcPr>
          <w:p>
            <w:pPr>
              <w:widowControl/>
              <w:spacing w:line="336" w:lineRule="atLeast"/>
              <w:jc w:val="righ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年   月   日 </w:t>
            </w:r>
          </w:p>
        </w:tc>
      </w:tr>
      <w:tr>
        <w:tblPrEx>
          <w:shd w:val="clear" w:color="auto" w:fill="FFFFFF"/>
          <w:tblCellMar>
            <w:top w:w="0" w:type="dxa"/>
            <w:left w:w="0" w:type="dxa"/>
            <w:bottom w:w="0" w:type="dxa"/>
            <w:right w:w="0" w:type="dxa"/>
          </w:tblCellMar>
        </w:tblPrEx>
        <w:trPr>
          <w:trHeight w:val="674" w:hRule="atLeast"/>
          <w:jc w:val="center"/>
        </w:trPr>
        <w:tc>
          <w:tcPr>
            <w:tcW w:w="1903" w:type="dxa"/>
            <w:tcBorders>
              <w:top w:val="nil"/>
              <w:left w:val="single" w:color="auto" w:sz="8" w:space="0"/>
              <w:bottom w:val="single" w:color="auto" w:sz="8" w:space="0"/>
              <w:right w:val="single" w:color="auto" w:sz="8" w:space="0"/>
            </w:tcBorders>
            <w:shd w:val="clear" w:color="auto" w:fill="FFFFFF"/>
            <w:vAlign w:val="center"/>
          </w:tcPr>
          <w:p>
            <w:pPr>
              <w:widowControl/>
              <w:spacing w:line="336" w:lineRule="atLeast"/>
              <w:jc w:val="left"/>
              <w:rPr>
                <w:rFonts w:hint="default" w:ascii="Times New Roman" w:hAnsi="Times New Roman" w:eastAsia="宋体" w:cs="Times New Roman"/>
                <w:kern w:val="0"/>
                <w:sz w:val="24"/>
                <w:szCs w:val="24"/>
              </w:rPr>
            </w:pPr>
          </w:p>
        </w:tc>
        <w:tc>
          <w:tcPr>
            <w:tcW w:w="6816" w:type="dxa"/>
            <w:gridSpan w:val="3"/>
            <w:tcBorders>
              <w:top w:val="nil"/>
              <w:left w:val="nil"/>
              <w:bottom w:val="single" w:color="auto" w:sz="8" w:space="0"/>
              <w:right w:val="single" w:color="000000" w:sz="6" w:space="0"/>
            </w:tcBorders>
            <w:shd w:val="clear" w:color="auto" w:fill="FFFFFF"/>
            <w:vAlign w:val="center"/>
          </w:tcPr>
          <w:p>
            <w:pPr>
              <w:widowControl/>
              <w:spacing w:line="336" w:lineRule="atLeast"/>
              <w:jc w:val="righ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（盖章）</w:t>
            </w:r>
          </w:p>
        </w:tc>
      </w:tr>
      <w:tr>
        <w:tblPrEx>
          <w:shd w:val="clear" w:color="auto" w:fill="FFFFFF"/>
          <w:tblCellMar>
            <w:top w:w="0" w:type="dxa"/>
            <w:left w:w="0" w:type="dxa"/>
            <w:bottom w:w="0" w:type="dxa"/>
            <w:right w:w="0" w:type="dxa"/>
          </w:tblCellMar>
        </w:tblPrEx>
        <w:trPr>
          <w:trHeight w:val="543" w:hRule="atLeast"/>
          <w:jc w:val="center"/>
        </w:trPr>
        <w:tc>
          <w:tcPr>
            <w:tcW w:w="1903" w:type="dxa"/>
            <w:vMerge w:val="restart"/>
            <w:tcBorders>
              <w:top w:val="nil"/>
              <w:left w:val="single" w:color="auto" w:sz="8" w:space="0"/>
              <w:bottom w:val="single" w:color="000000" w:sz="6" w:space="0"/>
              <w:right w:val="single" w:color="auto" w:sz="8" w:space="0"/>
            </w:tcBorders>
            <w:shd w:val="clear" w:color="auto" w:fill="FFFFFF"/>
            <w:vAlign w:val="center"/>
          </w:tcPr>
          <w:p>
            <w:pPr>
              <w:widowControl/>
              <w:spacing w:line="336" w:lineRule="atLeast"/>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信用承诺</w:t>
            </w:r>
          </w:p>
        </w:tc>
        <w:tc>
          <w:tcPr>
            <w:tcW w:w="6816" w:type="dxa"/>
            <w:gridSpan w:val="3"/>
            <w:tcBorders>
              <w:top w:val="single" w:color="auto" w:sz="8" w:space="0"/>
              <w:left w:val="nil"/>
              <w:bottom w:val="nil"/>
              <w:right w:val="single" w:color="000000" w:sz="6" w:space="0"/>
            </w:tcBorders>
            <w:shd w:val="clear" w:color="auto" w:fill="FFFFFF"/>
            <w:tcMar>
              <w:top w:w="0" w:type="dxa"/>
              <w:left w:w="810" w:type="dxa"/>
              <w:bottom w:w="0" w:type="dxa"/>
              <w:right w:w="0" w:type="dxa"/>
            </w:tcMar>
            <w:vAlign w:val="center"/>
          </w:tcPr>
          <w:p>
            <w:pPr>
              <w:widowControl/>
              <w:spacing w:line="336" w:lineRule="atLeast"/>
              <w:jc w:val="left"/>
              <w:rPr>
                <w:rFonts w:hint="default" w:ascii="Times New Roman" w:hAnsi="Times New Roman" w:eastAsia="宋体" w:cs="Times New Roman"/>
                <w:kern w:val="0"/>
                <w:sz w:val="24"/>
                <w:szCs w:val="24"/>
              </w:rPr>
            </w:pPr>
          </w:p>
        </w:tc>
      </w:tr>
      <w:tr>
        <w:tblPrEx>
          <w:shd w:val="clear" w:color="auto" w:fill="FFFFFF"/>
          <w:tblCellMar>
            <w:top w:w="0" w:type="dxa"/>
            <w:left w:w="0" w:type="dxa"/>
            <w:bottom w:w="0" w:type="dxa"/>
            <w:right w:w="0" w:type="dxa"/>
          </w:tblCellMar>
        </w:tblPrEx>
        <w:trPr>
          <w:trHeight w:val="1530" w:hRule="atLeast"/>
          <w:jc w:val="center"/>
        </w:trPr>
        <w:tc>
          <w:tcPr>
            <w:tcW w:w="1903" w:type="dxa"/>
            <w:vMerge w:val="continue"/>
            <w:tcBorders>
              <w:top w:val="nil"/>
              <w:left w:val="single" w:color="auto" w:sz="8" w:space="0"/>
              <w:bottom w:val="single" w:color="000000" w:sz="6" w:space="0"/>
              <w:right w:val="single" w:color="auto" w:sz="8" w:space="0"/>
            </w:tcBorders>
            <w:shd w:val="clear" w:color="auto" w:fill="FFFFFF"/>
            <w:vAlign w:val="center"/>
          </w:tcPr>
          <w:p>
            <w:pPr>
              <w:widowControl/>
              <w:jc w:val="left"/>
              <w:rPr>
                <w:rFonts w:hint="default" w:ascii="Times New Roman" w:hAnsi="Times New Roman" w:eastAsia="宋体" w:cs="Times New Roman"/>
                <w:kern w:val="0"/>
                <w:sz w:val="24"/>
                <w:szCs w:val="24"/>
              </w:rPr>
            </w:pPr>
          </w:p>
        </w:tc>
        <w:tc>
          <w:tcPr>
            <w:tcW w:w="6816" w:type="dxa"/>
            <w:gridSpan w:val="3"/>
            <w:tcBorders>
              <w:top w:val="nil"/>
              <w:left w:val="nil"/>
              <w:bottom w:val="nil"/>
              <w:right w:val="single" w:color="000000" w:sz="6" w:space="0"/>
            </w:tcBorders>
            <w:shd w:val="clear" w:color="auto" w:fill="FFFFFF"/>
            <w:tcMar>
              <w:top w:w="0" w:type="dxa"/>
              <w:left w:w="810" w:type="dxa"/>
              <w:bottom w:w="0" w:type="dxa"/>
              <w:right w:w="0" w:type="dxa"/>
            </w:tcMar>
            <w:vAlign w:val="center"/>
          </w:tcPr>
          <w:p>
            <w:pPr>
              <w:widowControl/>
              <w:spacing w:line="336" w:lineRule="atLeast"/>
              <w:ind w:firstLine="480" w:firstLineChars="20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本人承诺所填写内容和提交的相关材料真实准确，否则由此产生的相应后果自负。</w:t>
            </w:r>
          </w:p>
        </w:tc>
      </w:tr>
      <w:tr>
        <w:tblPrEx>
          <w:shd w:val="clear" w:color="auto" w:fill="FFFFFF"/>
          <w:tblCellMar>
            <w:top w:w="0" w:type="dxa"/>
            <w:left w:w="0" w:type="dxa"/>
            <w:bottom w:w="0" w:type="dxa"/>
            <w:right w:w="0" w:type="dxa"/>
          </w:tblCellMar>
        </w:tblPrEx>
        <w:trPr>
          <w:trHeight w:val="660" w:hRule="atLeast"/>
          <w:jc w:val="center"/>
        </w:trPr>
        <w:tc>
          <w:tcPr>
            <w:tcW w:w="1903" w:type="dxa"/>
            <w:vMerge w:val="continue"/>
            <w:tcBorders>
              <w:top w:val="nil"/>
              <w:left w:val="single" w:color="auto" w:sz="8" w:space="0"/>
              <w:bottom w:val="single" w:color="000000" w:sz="6" w:space="0"/>
              <w:right w:val="single" w:color="auto" w:sz="8" w:space="0"/>
            </w:tcBorders>
            <w:shd w:val="clear" w:color="auto" w:fill="FFFFFF"/>
            <w:vAlign w:val="center"/>
          </w:tcPr>
          <w:p>
            <w:pPr>
              <w:widowControl/>
              <w:jc w:val="left"/>
              <w:rPr>
                <w:rFonts w:hint="default" w:ascii="Times New Roman" w:hAnsi="Times New Roman" w:eastAsia="宋体" w:cs="Times New Roman"/>
                <w:kern w:val="0"/>
                <w:sz w:val="24"/>
                <w:szCs w:val="24"/>
              </w:rPr>
            </w:pPr>
          </w:p>
        </w:tc>
        <w:tc>
          <w:tcPr>
            <w:tcW w:w="6816" w:type="dxa"/>
            <w:gridSpan w:val="3"/>
            <w:tcBorders>
              <w:top w:val="nil"/>
              <w:left w:val="nil"/>
              <w:bottom w:val="single" w:color="auto" w:sz="8" w:space="0"/>
              <w:right w:val="single" w:color="000000" w:sz="6" w:space="0"/>
            </w:tcBorders>
            <w:shd w:val="clear" w:color="auto" w:fill="FFFFFF"/>
            <w:tcMar>
              <w:top w:w="0" w:type="dxa"/>
              <w:left w:w="3645" w:type="dxa"/>
              <w:bottom w:w="0" w:type="dxa"/>
              <w:right w:w="0" w:type="dxa"/>
            </w:tcMar>
            <w:vAlign w:val="center"/>
          </w:tcPr>
          <w:p>
            <w:pPr>
              <w:widowControl/>
              <w:spacing w:line="336" w:lineRule="atLeast"/>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签字：       （盖章）</w:t>
            </w:r>
          </w:p>
        </w:tc>
      </w:tr>
      <w:tr>
        <w:tblPrEx>
          <w:shd w:val="clear" w:color="auto" w:fill="FFFFFF"/>
          <w:tblCellMar>
            <w:top w:w="0" w:type="dxa"/>
            <w:left w:w="0" w:type="dxa"/>
            <w:bottom w:w="0" w:type="dxa"/>
            <w:right w:w="0" w:type="dxa"/>
          </w:tblCellMar>
        </w:tblPrEx>
        <w:trPr>
          <w:trHeight w:val="847" w:hRule="atLeast"/>
          <w:jc w:val="center"/>
        </w:trPr>
        <w:tc>
          <w:tcPr>
            <w:tcW w:w="1903" w:type="dxa"/>
            <w:tcBorders>
              <w:top w:val="nil"/>
              <w:left w:val="single" w:color="auto" w:sz="8" w:space="0"/>
              <w:bottom w:val="single" w:color="auto" w:sz="8" w:space="0"/>
              <w:right w:val="single" w:color="auto" w:sz="8" w:space="0"/>
            </w:tcBorders>
            <w:shd w:val="clear" w:color="auto" w:fill="FFFFFF"/>
            <w:vAlign w:val="center"/>
          </w:tcPr>
          <w:p>
            <w:pPr>
              <w:widowControl/>
              <w:spacing w:line="336" w:lineRule="atLeast"/>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备注</w:t>
            </w:r>
          </w:p>
        </w:tc>
        <w:tc>
          <w:tcPr>
            <w:tcW w:w="6816" w:type="dxa"/>
            <w:gridSpan w:val="3"/>
            <w:tcBorders>
              <w:top w:val="single" w:color="auto" w:sz="8" w:space="0"/>
              <w:left w:val="nil"/>
              <w:bottom w:val="single" w:color="auto" w:sz="8" w:space="0"/>
              <w:right w:val="single" w:color="000000" w:sz="6" w:space="0"/>
            </w:tcBorders>
            <w:shd w:val="clear" w:color="auto" w:fill="FFFFFF"/>
            <w:vAlign w:val="center"/>
          </w:tcPr>
          <w:p>
            <w:pPr>
              <w:widowControl/>
              <w:spacing w:line="336" w:lineRule="atLeast"/>
              <w:jc w:val="left"/>
              <w:rPr>
                <w:rFonts w:hint="default" w:ascii="Times New Roman" w:hAnsi="Times New Roman" w:eastAsia="宋体" w:cs="Times New Roman"/>
                <w:kern w:val="0"/>
                <w:sz w:val="24"/>
                <w:szCs w:val="24"/>
              </w:rPr>
            </w:pPr>
          </w:p>
        </w:tc>
      </w:tr>
    </w:tbl>
    <w:p>
      <w:pPr>
        <w:widowControl/>
        <w:shd w:val="clear" w:color="auto" w:fill="FFFFFF"/>
        <w:spacing w:line="720" w:lineRule="atLeast"/>
        <w:jc w:val="left"/>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附件2</w:t>
      </w:r>
    </w:p>
    <w:p>
      <w:pPr>
        <w:spacing w:line="560" w:lineRule="exact"/>
        <w:jc w:val="center"/>
        <w:outlineLvl w:val="0"/>
        <w:rPr>
          <w:rFonts w:hint="default" w:ascii="Times New Roman" w:hAnsi="Times New Roman" w:eastAsia="黑体" w:cs="Times New Roman"/>
          <w:b/>
          <w:bCs/>
          <w:sz w:val="36"/>
          <w:szCs w:val="36"/>
        </w:rPr>
      </w:pPr>
    </w:p>
    <w:p>
      <w:pPr>
        <w:spacing w:line="560" w:lineRule="exact"/>
        <w:jc w:val="center"/>
        <w:outlineLvl w:val="0"/>
        <w:rPr>
          <w:rFonts w:hint="default" w:ascii="Times New Roman" w:hAnsi="Times New Roman" w:eastAsia="方正小标宋_GBK" w:cs="Times New Roman"/>
          <w:b w:val="0"/>
          <w:bCs w:val="0"/>
          <w:sz w:val="44"/>
          <w:szCs w:val="44"/>
        </w:rPr>
      </w:pPr>
      <w:r>
        <w:rPr>
          <w:rFonts w:hint="default" w:ascii="Times New Roman" w:hAnsi="Times New Roman" w:eastAsia="方正小标宋_GBK" w:cs="Times New Roman"/>
          <w:b w:val="0"/>
          <w:bCs w:val="0"/>
          <w:sz w:val="44"/>
          <w:szCs w:val="44"/>
        </w:rPr>
        <w:t>湖南省医疗保障信用异议信息处理结果反馈单</w:t>
      </w:r>
    </w:p>
    <w:p>
      <w:pPr>
        <w:pStyle w:val="2"/>
        <w:rPr>
          <w:rFonts w:hint="default" w:ascii="Times New Roman" w:hAnsi="Times New Roman" w:cs="Times New Roman"/>
        </w:rPr>
      </w:pPr>
    </w:p>
    <w:tbl>
      <w:tblPr>
        <w:tblStyle w:val="6"/>
        <w:tblW w:w="8744" w:type="dxa"/>
        <w:tblInd w:w="0" w:type="dxa"/>
        <w:shd w:val="clear" w:color="auto" w:fill="FFFFFF"/>
        <w:tblLayout w:type="fixed"/>
        <w:tblCellMar>
          <w:top w:w="0" w:type="dxa"/>
          <w:left w:w="0" w:type="dxa"/>
          <w:bottom w:w="0" w:type="dxa"/>
          <w:right w:w="0" w:type="dxa"/>
        </w:tblCellMar>
      </w:tblPr>
      <w:tblGrid>
        <w:gridCol w:w="1920"/>
        <w:gridCol w:w="6824"/>
      </w:tblGrid>
      <w:tr>
        <w:tblPrEx>
          <w:shd w:val="clear" w:color="auto" w:fill="FFFFFF"/>
          <w:tblCellMar>
            <w:top w:w="0" w:type="dxa"/>
            <w:left w:w="0" w:type="dxa"/>
            <w:bottom w:w="0" w:type="dxa"/>
            <w:right w:w="0" w:type="dxa"/>
          </w:tblCellMar>
        </w:tblPrEx>
        <w:trPr>
          <w:trHeight w:val="698" w:hRule="atLeast"/>
        </w:trPr>
        <w:tc>
          <w:tcPr>
            <w:tcW w:w="1920" w:type="dxa"/>
            <w:tcBorders>
              <w:top w:val="single" w:color="auto" w:sz="8" w:space="0"/>
              <w:left w:val="single" w:color="auto" w:sz="8" w:space="0"/>
              <w:bottom w:val="single" w:color="auto" w:sz="8" w:space="0"/>
              <w:right w:val="single" w:color="auto" w:sz="8" w:space="0"/>
            </w:tcBorders>
            <w:shd w:val="clear" w:color="auto" w:fill="FFFFFF"/>
            <w:vAlign w:val="center"/>
          </w:tcPr>
          <w:p>
            <w:pPr>
              <w:widowControl/>
              <w:spacing w:line="360" w:lineRule="auto"/>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申请单位（人）</w:t>
            </w:r>
          </w:p>
        </w:tc>
        <w:tc>
          <w:tcPr>
            <w:tcW w:w="6824" w:type="dxa"/>
            <w:tcBorders>
              <w:top w:val="single" w:color="auto" w:sz="8" w:space="0"/>
              <w:left w:val="nil"/>
              <w:bottom w:val="single" w:color="auto" w:sz="8" w:space="0"/>
              <w:right w:val="single" w:color="auto" w:sz="8" w:space="0"/>
            </w:tcBorders>
            <w:shd w:val="clear" w:color="auto" w:fill="FFFFFF"/>
            <w:vAlign w:val="center"/>
          </w:tcPr>
          <w:p>
            <w:pPr>
              <w:widowControl/>
              <w:spacing w:line="360" w:lineRule="auto"/>
              <w:jc w:val="left"/>
              <w:rPr>
                <w:rFonts w:hint="default" w:ascii="Times New Roman" w:hAnsi="Times New Roman" w:eastAsia="宋体" w:cs="Times New Roman"/>
                <w:kern w:val="0"/>
                <w:sz w:val="24"/>
                <w:szCs w:val="24"/>
              </w:rPr>
            </w:pPr>
          </w:p>
        </w:tc>
      </w:tr>
      <w:tr>
        <w:tblPrEx>
          <w:shd w:val="clear" w:color="auto" w:fill="FFFFFF"/>
          <w:tblCellMar>
            <w:top w:w="0" w:type="dxa"/>
            <w:left w:w="0" w:type="dxa"/>
            <w:bottom w:w="0" w:type="dxa"/>
            <w:right w:w="0" w:type="dxa"/>
          </w:tblCellMar>
        </w:tblPrEx>
        <w:trPr>
          <w:trHeight w:val="624" w:hRule="atLeast"/>
        </w:trPr>
        <w:tc>
          <w:tcPr>
            <w:tcW w:w="1920" w:type="dxa"/>
            <w:vMerge w:val="restart"/>
            <w:tcBorders>
              <w:top w:val="nil"/>
              <w:left w:val="single" w:color="auto" w:sz="8" w:space="0"/>
              <w:bottom w:val="single" w:color="000000" w:sz="6" w:space="0"/>
              <w:right w:val="single" w:color="auto" w:sz="8" w:space="0"/>
            </w:tcBorders>
            <w:shd w:val="clear" w:color="auto" w:fill="FFFFFF"/>
            <w:vAlign w:val="center"/>
          </w:tcPr>
          <w:p>
            <w:pPr>
              <w:widowControl/>
              <w:spacing w:line="360" w:lineRule="auto"/>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异议信息</w:t>
            </w:r>
            <w:r>
              <w:rPr>
                <w:rFonts w:hint="default" w:ascii="Times New Roman" w:hAnsi="Times New Roman" w:eastAsia="宋体" w:cs="Times New Roman"/>
                <w:kern w:val="0"/>
                <w:sz w:val="24"/>
                <w:szCs w:val="24"/>
              </w:rPr>
              <w:br w:type="textWrapping"/>
            </w:r>
            <w:r>
              <w:rPr>
                <w:rFonts w:hint="default" w:ascii="Times New Roman" w:hAnsi="Times New Roman" w:eastAsia="宋体" w:cs="Times New Roman"/>
                <w:kern w:val="0"/>
                <w:sz w:val="24"/>
                <w:szCs w:val="24"/>
              </w:rPr>
              <w:t>申请内容</w:t>
            </w:r>
          </w:p>
        </w:tc>
        <w:tc>
          <w:tcPr>
            <w:tcW w:w="6824" w:type="dxa"/>
            <w:vMerge w:val="restart"/>
            <w:tcBorders>
              <w:top w:val="nil"/>
              <w:left w:val="single" w:color="auto" w:sz="8" w:space="0"/>
              <w:bottom w:val="single" w:color="000000" w:sz="6" w:space="0"/>
              <w:right w:val="single" w:color="auto" w:sz="8" w:space="0"/>
            </w:tcBorders>
            <w:shd w:val="clear" w:color="auto" w:fill="FFFFFF"/>
            <w:vAlign w:val="center"/>
          </w:tcPr>
          <w:p>
            <w:pPr>
              <w:widowControl/>
              <w:spacing w:line="360" w:lineRule="auto"/>
              <w:jc w:val="left"/>
              <w:rPr>
                <w:rFonts w:hint="default" w:ascii="Times New Roman" w:hAnsi="Times New Roman" w:eastAsia="宋体" w:cs="Times New Roman"/>
                <w:kern w:val="0"/>
                <w:sz w:val="24"/>
                <w:szCs w:val="24"/>
              </w:rPr>
            </w:pPr>
          </w:p>
        </w:tc>
      </w:tr>
      <w:tr>
        <w:tblPrEx>
          <w:shd w:val="clear" w:color="auto" w:fill="FFFFFF"/>
          <w:tblCellMar>
            <w:top w:w="0" w:type="dxa"/>
            <w:left w:w="0" w:type="dxa"/>
            <w:bottom w:w="0" w:type="dxa"/>
            <w:right w:w="0" w:type="dxa"/>
          </w:tblCellMar>
        </w:tblPrEx>
        <w:trPr>
          <w:trHeight w:val="2550" w:hRule="atLeast"/>
        </w:trPr>
        <w:tc>
          <w:tcPr>
            <w:tcW w:w="1920" w:type="dxa"/>
            <w:vMerge w:val="continue"/>
            <w:tcBorders>
              <w:top w:val="nil"/>
              <w:left w:val="single" w:color="auto" w:sz="8" w:space="0"/>
              <w:bottom w:val="single" w:color="000000" w:sz="6" w:space="0"/>
              <w:right w:val="single" w:color="auto" w:sz="8" w:space="0"/>
            </w:tcBorders>
            <w:shd w:val="clear" w:color="auto" w:fill="FFFFFF"/>
            <w:vAlign w:val="center"/>
          </w:tcPr>
          <w:p>
            <w:pPr>
              <w:widowControl/>
              <w:spacing w:line="360" w:lineRule="auto"/>
              <w:jc w:val="left"/>
              <w:rPr>
                <w:rFonts w:hint="default" w:ascii="Times New Roman" w:hAnsi="Times New Roman" w:eastAsia="宋体" w:cs="Times New Roman"/>
                <w:kern w:val="0"/>
                <w:sz w:val="24"/>
                <w:szCs w:val="24"/>
              </w:rPr>
            </w:pPr>
          </w:p>
        </w:tc>
        <w:tc>
          <w:tcPr>
            <w:tcW w:w="6824" w:type="dxa"/>
            <w:vMerge w:val="continue"/>
            <w:tcBorders>
              <w:top w:val="nil"/>
              <w:left w:val="single" w:color="auto" w:sz="8" w:space="0"/>
              <w:bottom w:val="single" w:color="000000" w:sz="6" w:space="0"/>
              <w:right w:val="single" w:color="auto" w:sz="8" w:space="0"/>
            </w:tcBorders>
            <w:shd w:val="clear" w:color="auto" w:fill="FFFFFF"/>
            <w:vAlign w:val="center"/>
          </w:tcPr>
          <w:p>
            <w:pPr>
              <w:widowControl/>
              <w:spacing w:line="360" w:lineRule="auto"/>
              <w:jc w:val="left"/>
              <w:rPr>
                <w:rFonts w:hint="default" w:ascii="Times New Roman" w:hAnsi="Times New Roman" w:eastAsia="宋体" w:cs="Times New Roman"/>
                <w:kern w:val="0"/>
                <w:sz w:val="24"/>
                <w:szCs w:val="24"/>
              </w:rPr>
            </w:pPr>
          </w:p>
        </w:tc>
      </w:tr>
      <w:tr>
        <w:tblPrEx>
          <w:shd w:val="clear" w:color="auto" w:fill="FFFFFF"/>
          <w:tblCellMar>
            <w:top w:w="0" w:type="dxa"/>
            <w:left w:w="0" w:type="dxa"/>
            <w:bottom w:w="0" w:type="dxa"/>
            <w:right w:w="0" w:type="dxa"/>
          </w:tblCellMar>
        </w:tblPrEx>
        <w:trPr>
          <w:trHeight w:val="624" w:hRule="atLeast"/>
        </w:trPr>
        <w:tc>
          <w:tcPr>
            <w:tcW w:w="1920" w:type="dxa"/>
            <w:vMerge w:val="restart"/>
            <w:tcBorders>
              <w:top w:val="nil"/>
              <w:left w:val="single" w:color="auto" w:sz="8" w:space="0"/>
              <w:bottom w:val="single" w:color="000000" w:sz="6" w:space="0"/>
              <w:right w:val="single" w:color="auto" w:sz="8" w:space="0"/>
            </w:tcBorders>
            <w:shd w:val="clear" w:color="auto" w:fill="FFFFFF"/>
            <w:vAlign w:val="center"/>
          </w:tcPr>
          <w:p>
            <w:pPr>
              <w:widowControl/>
              <w:spacing w:line="360" w:lineRule="auto"/>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异议信息</w:t>
            </w:r>
            <w:r>
              <w:rPr>
                <w:rFonts w:hint="default" w:ascii="Times New Roman" w:hAnsi="Times New Roman" w:eastAsia="宋体" w:cs="Times New Roman"/>
                <w:kern w:val="0"/>
                <w:sz w:val="24"/>
                <w:szCs w:val="24"/>
              </w:rPr>
              <w:br w:type="textWrapping"/>
            </w:r>
            <w:r>
              <w:rPr>
                <w:rFonts w:hint="default" w:ascii="Times New Roman" w:hAnsi="Times New Roman" w:eastAsia="宋体" w:cs="Times New Roman"/>
                <w:kern w:val="0"/>
                <w:sz w:val="24"/>
                <w:szCs w:val="24"/>
              </w:rPr>
              <w:t>处理结果</w:t>
            </w:r>
          </w:p>
        </w:tc>
        <w:tc>
          <w:tcPr>
            <w:tcW w:w="6824" w:type="dxa"/>
            <w:vMerge w:val="restart"/>
            <w:tcBorders>
              <w:top w:val="nil"/>
              <w:left w:val="single" w:color="auto" w:sz="8" w:space="0"/>
              <w:bottom w:val="single" w:color="000000" w:sz="6" w:space="0"/>
              <w:right w:val="single" w:color="auto" w:sz="8" w:space="0"/>
            </w:tcBorders>
            <w:shd w:val="clear" w:color="auto" w:fill="FFFFFF"/>
            <w:vAlign w:val="bottom"/>
          </w:tcPr>
          <w:p>
            <w:pPr>
              <w:widowControl/>
              <w:spacing w:line="360" w:lineRule="auto"/>
              <w:jc w:val="righ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XX医疗保障局   </w:t>
            </w:r>
            <w:r>
              <w:rPr>
                <w:rFonts w:hint="default" w:ascii="Times New Roman" w:hAnsi="Times New Roman" w:eastAsia="宋体" w:cs="Times New Roman"/>
                <w:kern w:val="0"/>
                <w:sz w:val="24"/>
                <w:szCs w:val="24"/>
              </w:rPr>
              <w:br w:type="textWrapping"/>
            </w:r>
            <w:r>
              <w:rPr>
                <w:rFonts w:hint="default" w:ascii="Times New Roman" w:hAnsi="Times New Roman" w:eastAsia="宋体" w:cs="Times New Roman"/>
                <w:kern w:val="0"/>
                <w:sz w:val="24"/>
                <w:szCs w:val="24"/>
              </w:rPr>
              <w:t xml:space="preserve">    </w:t>
            </w:r>
            <w:r>
              <w:rPr>
                <w:rFonts w:hint="default" w:ascii="Times New Roman" w:hAnsi="Times New Roman" w:cs="Times New Roman"/>
                <w:kern w:val="0"/>
                <w:sz w:val="24"/>
                <w:szCs w:val="24"/>
              </w:rPr>
              <w:t xml:space="preserve"> </w:t>
            </w:r>
            <w:r>
              <w:rPr>
                <w:rFonts w:hint="default" w:ascii="Times New Roman" w:hAnsi="Times New Roman" w:eastAsia="宋体" w:cs="Times New Roman"/>
                <w:kern w:val="0"/>
                <w:sz w:val="24"/>
                <w:szCs w:val="24"/>
              </w:rPr>
              <w:t>年  月  日  （盖章）    </w:t>
            </w:r>
          </w:p>
        </w:tc>
      </w:tr>
      <w:tr>
        <w:tblPrEx>
          <w:shd w:val="clear" w:color="auto" w:fill="FFFFFF"/>
          <w:tblCellMar>
            <w:top w:w="0" w:type="dxa"/>
            <w:left w:w="0" w:type="dxa"/>
            <w:bottom w:w="0" w:type="dxa"/>
            <w:right w:w="0" w:type="dxa"/>
          </w:tblCellMar>
        </w:tblPrEx>
        <w:trPr>
          <w:trHeight w:val="4470" w:hRule="atLeast"/>
        </w:trPr>
        <w:tc>
          <w:tcPr>
            <w:tcW w:w="1920" w:type="dxa"/>
            <w:vMerge w:val="continue"/>
            <w:tcBorders>
              <w:top w:val="nil"/>
              <w:left w:val="single" w:color="auto" w:sz="8" w:space="0"/>
              <w:bottom w:val="single" w:color="000000" w:sz="6" w:space="0"/>
              <w:right w:val="single" w:color="auto" w:sz="8" w:space="0"/>
            </w:tcBorders>
            <w:shd w:val="clear" w:color="auto" w:fill="FFFFFF"/>
            <w:vAlign w:val="center"/>
          </w:tcPr>
          <w:p>
            <w:pPr>
              <w:widowControl/>
              <w:spacing w:line="360" w:lineRule="auto"/>
              <w:jc w:val="left"/>
              <w:rPr>
                <w:rFonts w:hint="default" w:ascii="Times New Roman" w:hAnsi="Times New Roman" w:eastAsia="宋体" w:cs="Times New Roman"/>
                <w:kern w:val="0"/>
                <w:sz w:val="24"/>
                <w:szCs w:val="24"/>
              </w:rPr>
            </w:pPr>
          </w:p>
        </w:tc>
        <w:tc>
          <w:tcPr>
            <w:tcW w:w="6824" w:type="dxa"/>
            <w:vMerge w:val="continue"/>
            <w:tcBorders>
              <w:top w:val="nil"/>
              <w:left w:val="single" w:color="auto" w:sz="8" w:space="0"/>
              <w:bottom w:val="single" w:color="000000" w:sz="6" w:space="0"/>
              <w:right w:val="single" w:color="auto" w:sz="8" w:space="0"/>
            </w:tcBorders>
            <w:shd w:val="clear" w:color="auto" w:fill="FFFFFF"/>
            <w:vAlign w:val="center"/>
          </w:tcPr>
          <w:p>
            <w:pPr>
              <w:widowControl/>
              <w:spacing w:line="360" w:lineRule="auto"/>
              <w:jc w:val="left"/>
              <w:rPr>
                <w:rFonts w:hint="default" w:ascii="Times New Roman" w:hAnsi="Times New Roman" w:eastAsia="宋体" w:cs="Times New Roman"/>
                <w:kern w:val="0"/>
                <w:sz w:val="24"/>
                <w:szCs w:val="24"/>
              </w:rPr>
            </w:pPr>
          </w:p>
        </w:tc>
      </w:tr>
      <w:tr>
        <w:tblPrEx>
          <w:shd w:val="clear" w:color="auto" w:fill="FFFFFF"/>
          <w:tblCellMar>
            <w:top w:w="0" w:type="dxa"/>
            <w:left w:w="0" w:type="dxa"/>
            <w:bottom w:w="0" w:type="dxa"/>
            <w:right w:w="0" w:type="dxa"/>
          </w:tblCellMar>
        </w:tblPrEx>
        <w:trPr>
          <w:trHeight w:val="890" w:hRule="atLeast"/>
        </w:trPr>
        <w:tc>
          <w:tcPr>
            <w:tcW w:w="1920" w:type="dxa"/>
            <w:tcBorders>
              <w:top w:val="nil"/>
              <w:left w:val="single" w:color="auto" w:sz="8" w:space="0"/>
              <w:bottom w:val="single" w:color="auto" w:sz="8" w:space="0"/>
              <w:right w:val="single" w:color="auto" w:sz="8" w:space="0"/>
            </w:tcBorders>
            <w:shd w:val="clear" w:color="auto" w:fill="FFFFFF"/>
            <w:vAlign w:val="center"/>
          </w:tcPr>
          <w:p>
            <w:pPr>
              <w:widowControl/>
              <w:spacing w:line="360" w:lineRule="auto"/>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备注</w:t>
            </w:r>
          </w:p>
        </w:tc>
        <w:tc>
          <w:tcPr>
            <w:tcW w:w="6824" w:type="dxa"/>
            <w:tcBorders>
              <w:top w:val="nil"/>
              <w:left w:val="nil"/>
              <w:bottom w:val="single" w:color="auto" w:sz="8" w:space="0"/>
              <w:right w:val="single" w:color="auto" w:sz="8" w:space="0"/>
            </w:tcBorders>
            <w:shd w:val="clear" w:color="auto" w:fill="FFFFFF"/>
            <w:vAlign w:val="center"/>
          </w:tcPr>
          <w:p>
            <w:pPr>
              <w:widowControl/>
              <w:spacing w:line="360" w:lineRule="auto"/>
              <w:jc w:val="left"/>
              <w:rPr>
                <w:rFonts w:hint="default" w:ascii="Times New Roman" w:hAnsi="Times New Roman" w:eastAsia="宋体" w:cs="Times New Roman"/>
                <w:kern w:val="0"/>
                <w:sz w:val="24"/>
                <w:szCs w:val="24"/>
              </w:rPr>
            </w:pPr>
          </w:p>
        </w:tc>
      </w:tr>
    </w:tbl>
    <w:p>
      <w:pPr>
        <w:widowControl/>
        <w:shd w:val="clear" w:color="auto" w:fill="FFFFFF"/>
        <w:spacing w:line="720" w:lineRule="atLeast"/>
        <w:jc w:val="left"/>
        <w:rPr>
          <w:rFonts w:hint="default" w:ascii="Times New Roman" w:hAnsi="Times New Roman" w:eastAsia="微软雅黑" w:cs="Times New Roman"/>
          <w:kern w:val="0"/>
          <w:szCs w:val="21"/>
        </w:rPr>
      </w:pPr>
    </w:p>
    <w:p>
      <w:pPr>
        <w:widowControl/>
        <w:shd w:val="clear" w:color="auto" w:fill="FFFFFF"/>
        <w:spacing w:line="720" w:lineRule="atLeast"/>
        <w:jc w:val="left"/>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附件3</w:t>
      </w:r>
    </w:p>
    <w:p>
      <w:pPr>
        <w:spacing w:line="560" w:lineRule="exact"/>
        <w:jc w:val="center"/>
        <w:outlineLvl w:val="0"/>
        <w:rPr>
          <w:rFonts w:hint="default" w:ascii="Times New Roman" w:hAnsi="Times New Roman" w:eastAsia="方正小标宋_GBK" w:cs="Times New Roman"/>
          <w:b w:val="0"/>
          <w:bCs w:val="0"/>
          <w:sz w:val="44"/>
          <w:szCs w:val="44"/>
        </w:rPr>
      </w:pPr>
      <w:r>
        <w:rPr>
          <w:rFonts w:hint="default" w:ascii="Times New Roman" w:hAnsi="Times New Roman" w:eastAsia="方正小标宋_GBK" w:cs="Times New Roman"/>
          <w:b w:val="0"/>
          <w:bCs w:val="0"/>
          <w:sz w:val="44"/>
          <w:szCs w:val="44"/>
        </w:rPr>
        <w:t>湖南省医疗保障信用修复申请表</w:t>
      </w:r>
    </w:p>
    <w:p>
      <w:pPr>
        <w:pStyle w:val="2"/>
        <w:rPr>
          <w:rFonts w:hint="default" w:ascii="Times New Roman" w:hAnsi="Times New Roman" w:cs="Times New Roman"/>
        </w:rPr>
      </w:pPr>
    </w:p>
    <w:tbl>
      <w:tblPr>
        <w:tblStyle w:val="6"/>
        <w:tblW w:w="8338" w:type="dxa"/>
        <w:jc w:val="center"/>
        <w:shd w:val="clear" w:color="auto" w:fill="FFFFFF"/>
        <w:tblLayout w:type="fixed"/>
        <w:tblCellMar>
          <w:top w:w="0" w:type="dxa"/>
          <w:left w:w="0" w:type="dxa"/>
          <w:bottom w:w="0" w:type="dxa"/>
          <w:right w:w="0" w:type="dxa"/>
        </w:tblCellMar>
      </w:tblPr>
      <w:tblGrid>
        <w:gridCol w:w="1497"/>
        <w:gridCol w:w="2408"/>
        <w:gridCol w:w="4433"/>
      </w:tblGrid>
      <w:tr>
        <w:tblPrEx>
          <w:shd w:val="clear" w:color="auto" w:fill="FFFFFF"/>
          <w:tblCellMar>
            <w:top w:w="0" w:type="dxa"/>
            <w:left w:w="0" w:type="dxa"/>
            <w:bottom w:w="0" w:type="dxa"/>
            <w:right w:w="0" w:type="dxa"/>
          </w:tblCellMar>
        </w:tblPrEx>
        <w:trPr>
          <w:trHeight w:val="788" w:hRule="atLeast"/>
          <w:jc w:val="center"/>
        </w:trPr>
        <w:tc>
          <w:tcPr>
            <w:tcW w:w="1497" w:type="dxa"/>
            <w:vMerge w:val="restart"/>
            <w:tcBorders>
              <w:top w:val="single" w:color="auto" w:sz="8" w:space="0"/>
              <w:left w:val="single" w:color="auto" w:sz="8" w:space="0"/>
              <w:bottom w:val="single" w:color="000000" w:sz="6" w:space="0"/>
              <w:right w:val="single" w:color="auto" w:sz="8" w:space="0"/>
            </w:tcBorders>
            <w:shd w:val="clear" w:color="auto" w:fill="FFFFFF"/>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 w:val="24"/>
              </w:rPr>
              <w:t>失信主体基本情况</w:t>
            </w:r>
          </w:p>
        </w:tc>
        <w:tc>
          <w:tcPr>
            <w:tcW w:w="2408" w:type="dxa"/>
            <w:tcBorders>
              <w:top w:val="single" w:color="auto" w:sz="8" w:space="0"/>
              <w:left w:val="nil"/>
              <w:bottom w:val="single" w:color="auto" w:sz="8" w:space="0"/>
              <w:right w:val="single" w:color="auto" w:sz="8" w:space="0"/>
            </w:tcBorders>
            <w:shd w:val="clear" w:color="auto" w:fill="FFFFFF"/>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 w:val="24"/>
              </w:rPr>
              <w:t>名称</w:t>
            </w:r>
          </w:p>
        </w:tc>
        <w:tc>
          <w:tcPr>
            <w:tcW w:w="4433" w:type="dxa"/>
            <w:tcBorders>
              <w:top w:val="single" w:color="auto" w:sz="8" w:space="0"/>
              <w:left w:val="nil"/>
              <w:bottom w:val="single" w:color="auto" w:sz="8" w:space="0"/>
              <w:right w:val="single" w:color="auto" w:sz="8" w:space="0"/>
            </w:tcBorders>
            <w:shd w:val="clear" w:color="auto" w:fill="FFFFFF"/>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 w:val="24"/>
              </w:rPr>
              <w:t>（填写法人单位名称或自然人名称）</w:t>
            </w:r>
          </w:p>
        </w:tc>
      </w:tr>
      <w:tr>
        <w:tblPrEx>
          <w:shd w:val="clear" w:color="auto" w:fill="FFFFFF"/>
          <w:tblCellMar>
            <w:top w:w="0" w:type="dxa"/>
            <w:left w:w="0" w:type="dxa"/>
            <w:bottom w:w="0" w:type="dxa"/>
            <w:right w:w="0" w:type="dxa"/>
          </w:tblCellMar>
        </w:tblPrEx>
        <w:trPr>
          <w:trHeight w:val="881" w:hRule="atLeast"/>
          <w:jc w:val="center"/>
        </w:trPr>
        <w:tc>
          <w:tcPr>
            <w:tcW w:w="1497" w:type="dxa"/>
            <w:vMerge w:val="continue"/>
            <w:tcBorders>
              <w:top w:val="single" w:color="auto" w:sz="8" w:space="0"/>
              <w:left w:val="single" w:color="auto" w:sz="8" w:space="0"/>
              <w:bottom w:val="single" w:color="000000" w:sz="6" w:space="0"/>
              <w:right w:val="single" w:color="auto" w:sz="8" w:space="0"/>
            </w:tcBorders>
            <w:shd w:val="clear" w:color="auto" w:fill="FFFFFF"/>
            <w:vAlign w:val="center"/>
          </w:tcPr>
          <w:p>
            <w:pPr>
              <w:widowControl/>
              <w:jc w:val="center"/>
              <w:rPr>
                <w:rFonts w:hint="default" w:ascii="Times New Roman" w:hAnsi="Times New Roman" w:eastAsia="宋体" w:cs="Times New Roman"/>
                <w:kern w:val="0"/>
                <w:szCs w:val="21"/>
              </w:rPr>
            </w:pPr>
          </w:p>
        </w:tc>
        <w:tc>
          <w:tcPr>
            <w:tcW w:w="2408" w:type="dxa"/>
            <w:tcBorders>
              <w:top w:val="nil"/>
              <w:left w:val="nil"/>
              <w:bottom w:val="single" w:color="auto" w:sz="8" w:space="0"/>
              <w:right w:val="single" w:color="auto" w:sz="8" w:space="0"/>
            </w:tcBorders>
            <w:shd w:val="clear" w:color="auto" w:fill="FFFFFF"/>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 w:val="24"/>
              </w:rPr>
              <w:t>统一社会信用代码</w:t>
            </w:r>
          </w:p>
        </w:tc>
        <w:tc>
          <w:tcPr>
            <w:tcW w:w="4433" w:type="dxa"/>
            <w:tcBorders>
              <w:top w:val="nil"/>
              <w:left w:val="nil"/>
              <w:bottom w:val="single" w:color="auto" w:sz="8" w:space="0"/>
              <w:right w:val="single" w:color="auto" w:sz="8" w:space="0"/>
            </w:tcBorders>
            <w:shd w:val="clear" w:color="auto" w:fill="FFFFFF"/>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 w:val="24"/>
              </w:rPr>
              <w:t>（自然人填写身份证号）</w:t>
            </w:r>
          </w:p>
        </w:tc>
      </w:tr>
      <w:tr>
        <w:tblPrEx>
          <w:shd w:val="clear" w:color="auto" w:fill="FFFFFF"/>
          <w:tblCellMar>
            <w:top w:w="0" w:type="dxa"/>
            <w:left w:w="0" w:type="dxa"/>
            <w:bottom w:w="0" w:type="dxa"/>
            <w:right w:w="0" w:type="dxa"/>
          </w:tblCellMar>
        </w:tblPrEx>
        <w:trPr>
          <w:trHeight w:val="1066" w:hRule="atLeast"/>
          <w:jc w:val="center"/>
        </w:trPr>
        <w:tc>
          <w:tcPr>
            <w:tcW w:w="1497" w:type="dxa"/>
            <w:vMerge w:val="continue"/>
            <w:tcBorders>
              <w:top w:val="single" w:color="auto" w:sz="8" w:space="0"/>
              <w:left w:val="single" w:color="auto" w:sz="8" w:space="0"/>
              <w:bottom w:val="single" w:color="000000" w:sz="6" w:space="0"/>
              <w:right w:val="single" w:color="auto" w:sz="8" w:space="0"/>
            </w:tcBorders>
            <w:shd w:val="clear" w:color="auto" w:fill="FFFFFF"/>
            <w:vAlign w:val="center"/>
          </w:tcPr>
          <w:p>
            <w:pPr>
              <w:widowControl/>
              <w:jc w:val="center"/>
              <w:rPr>
                <w:rFonts w:hint="default" w:ascii="Times New Roman" w:hAnsi="Times New Roman" w:eastAsia="宋体" w:cs="Times New Roman"/>
                <w:kern w:val="0"/>
                <w:szCs w:val="21"/>
              </w:rPr>
            </w:pPr>
          </w:p>
        </w:tc>
        <w:tc>
          <w:tcPr>
            <w:tcW w:w="2408" w:type="dxa"/>
            <w:tcBorders>
              <w:top w:val="nil"/>
              <w:left w:val="nil"/>
              <w:bottom w:val="single" w:color="auto" w:sz="8" w:space="0"/>
              <w:right w:val="single" w:color="auto" w:sz="8" w:space="0"/>
            </w:tcBorders>
            <w:shd w:val="clear" w:color="auto" w:fill="FFFFFF"/>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 w:val="24"/>
              </w:rPr>
              <w:t>联系方式</w:t>
            </w:r>
          </w:p>
        </w:tc>
        <w:tc>
          <w:tcPr>
            <w:tcW w:w="4433" w:type="dxa"/>
            <w:tcBorders>
              <w:top w:val="nil"/>
              <w:left w:val="nil"/>
              <w:bottom w:val="single" w:color="auto" w:sz="8" w:space="0"/>
              <w:right w:val="single" w:color="auto" w:sz="8" w:space="0"/>
            </w:tcBorders>
            <w:shd w:val="clear" w:color="auto" w:fill="FFFFFF"/>
            <w:vAlign w:val="center"/>
          </w:tcPr>
          <w:p>
            <w:pPr>
              <w:widowControl/>
              <w:jc w:val="center"/>
              <w:rPr>
                <w:rFonts w:hint="default" w:ascii="Times New Roman" w:hAnsi="Times New Roman" w:eastAsia="宋体" w:cs="Times New Roman"/>
                <w:kern w:val="0"/>
                <w:sz w:val="44"/>
                <w:szCs w:val="44"/>
              </w:rPr>
            </w:pPr>
          </w:p>
        </w:tc>
      </w:tr>
      <w:tr>
        <w:tblPrEx>
          <w:shd w:val="clear" w:color="auto" w:fill="FFFFFF"/>
          <w:tblCellMar>
            <w:top w:w="0" w:type="dxa"/>
            <w:left w:w="0" w:type="dxa"/>
            <w:bottom w:w="0" w:type="dxa"/>
            <w:right w:w="0" w:type="dxa"/>
          </w:tblCellMar>
        </w:tblPrEx>
        <w:trPr>
          <w:trHeight w:val="3616" w:hRule="atLeast"/>
          <w:jc w:val="center"/>
        </w:trPr>
        <w:tc>
          <w:tcPr>
            <w:tcW w:w="1497" w:type="dxa"/>
            <w:tcBorders>
              <w:top w:val="nil"/>
              <w:left w:val="single" w:color="auto" w:sz="8" w:space="0"/>
              <w:bottom w:val="single" w:color="auto" w:sz="8" w:space="0"/>
              <w:right w:val="single" w:color="auto" w:sz="8" w:space="0"/>
            </w:tcBorders>
            <w:shd w:val="clear" w:color="auto" w:fill="FFFFFF"/>
            <w:vAlign w:val="center"/>
          </w:tcPr>
          <w:p>
            <w:pPr>
              <w:widowControl/>
              <w:jc w:val="center"/>
              <w:rPr>
                <w:rFonts w:hint="default" w:ascii="Times New Roman" w:hAnsi="Times New Roman" w:eastAsia="宋体" w:cs="Times New Roman"/>
                <w:kern w:val="0"/>
                <w:sz w:val="30"/>
                <w:szCs w:val="30"/>
              </w:rPr>
            </w:pPr>
            <w:r>
              <w:rPr>
                <w:rFonts w:hint="default" w:ascii="Times New Roman" w:hAnsi="Times New Roman" w:eastAsia="宋体" w:cs="Times New Roman"/>
                <w:kern w:val="0"/>
                <w:sz w:val="24"/>
              </w:rPr>
              <w:t>申请修复的失信信息内容</w:t>
            </w:r>
          </w:p>
        </w:tc>
        <w:tc>
          <w:tcPr>
            <w:tcW w:w="2408" w:type="dxa"/>
            <w:tcBorders>
              <w:top w:val="nil"/>
              <w:left w:val="nil"/>
              <w:bottom w:val="single" w:color="auto" w:sz="8" w:space="0"/>
              <w:right w:val="single" w:color="auto" w:sz="8" w:space="0"/>
            </w:tcBorders>
            <w:shd w:val="clear" w:color="auto" w:fill="FFFFFF"/>
            <w:vAlign w:val="center"/>
          </w:tcPr>
          <w:p>
            <w:pPr>
              <w:widowControl/>
              <w:jc w:val="center"/>
              <w:rPr>
                <w:rFonts w:hint="default" w:ascii="Times New Roman" w:hAnsi="Times New Roman" w:eastAsia="宋体" w:cs="Times New Roman"/>
                <w:kern w:val="0"/>
                <w:sz w:val="30"/>
                <w:szCs w:val="30"/>
              </w:rPr>
            </w:pPr>
            <w:r>
              <w:rPr>
                <w:rFonts w:hint="default" w:ascii="Times New Roman" w:hAnsi="Times New Roman" w:eastAsia="宋体" w:cs="Times New Roman"/>
                <w:kern w:val="0"/>
                <w:sz w:val="24"/>
              </w:rPr>
              <w:t>失信信息内容描述</w:t>
            </w:r>
          </w:p>
        </w:tc>
        <w:tc>
          <w:tcPr>
            <w:tcW w:w="4433" w:type="dxa"/>
            <w:tcBorders>
              <w:top w:val="nil"/>
              <w:left w:val="nil"/>
              <w:bottom w:val="single" w:color="auto" w:sz="8" w:space="0"/>
              <w:right w:val="single" w:color="auto" w:sz="8" w:space="0"/>
            </w:tcBorders>
            <w:shd w:val="clear" w:color="auto" w:fill="FFFFFF"/>
            <w:vAlign w:val="center"/>
          </w:tcPr>
          <w:p>
            <w:pPr>
              <w:widowControl/>
              <w:jc w:val="left"/>
              <w:rPr>
                <w:rFonts w:hint="default" w:ascii="Times New Roman" w:hAnsi="Times New Roman" w:eastAsia="宋体" w:cs="Times New Roman"/>
                <w:kern w:val="0"/>
                <w:szCs w:val="21"/>
              </w:rPr>
            </w:pPr>
            <w:r>
              <w:rPr>
                <w:rFonts w:hint="default" w:ascii="Times New Roman" w:hAnsi="Times New Roman" w:eastAsia="宋体" w:cs="Times New Roman"/>
                <w:kern w:val="0"/>
                <w:sz w:val="24"/>
              </w:rPr>
              <w:t>xxxx 年 xx 月 xx   日，因****行为被处以***罚款或者解除协议等（可提供页面打印件或复印件）</w:t>
            </w:r>
          </w:p>
        </w:tc>
      </w:tr>
      <w:tr>
        <w:tblPrEx>
          <w:shd w:val="clear" w:color="auto" w:fill="FFFFFF"/>
          <w:tblCellMar>
            <w:top w:w="0" w:type="dxa"/>
            <w:left w:w="0" w:type="dxa"/>
            <w:bottom w:w="0" w:type="dxa"/>
            <w:right w:w="0" w:type="dxa"/>
          </w:tblCellMar>
        </w:tblPrEx>
        <w:trPr>
          <w:trHeight w:val="1472" w:hRule="atLeast"/>
          <w:jc w:val="center"/>
        </w:trPr>
        <w:tc>
          <w:tcPr>
            <w:tcW w:w="1497" w:type="dxa"/>
            <w:tcBorders>
              <w:top w:val="nil"/>
              <w:left w:val="single" w:color="auto" w:sz="8" w:space="0"/>
              <w:bottom w:val="single" w:color="auto" w:sz="8" w:space="0"/>
              <w:right w:val="single" w:color="auto" w:sz="8" w:space="0"/>
            </w:tcBorders>
            <w:shd w:val="clear" w:color="auto" w:fill="FFFFFF"/>
            <w:vAlign w:val="center"/>
          </w:tcPr>
          <w:p>
            <w:pPr>
              <w:widowControl/>
              <w:jc w:val="center"/>
              <w:rPr>
                <w:rFonts w:hint="default" w:ascii="Times New Roman" w:hAnsi="Times New Roman" w:eastAsia="宋体" w:cs="Times New Roman"/>
                <w:kern w:val="0"/>
                <w:sz w:val="30"/>
                <w:szCs w:val="30"/>
              </w:rPr>
            </w:pPr>
            <w:r>
              <w:rPr>
                <w:rFonts w:hint="default" w:ascii="Times New Roman" w:hAnsi="Times New Roman" w:eastAsia="宋体" w:cs="Times New Roman"/>
                <w:kern w:val="0"/>
                <w:sz w:val="24"/>
              </w:rPr>
              <w:t>申请信用修复的理由</w:t>
            </w:r>
          </w:p>
        </w:tc>
        <w:tc>
          <w:tcPr>
            <w:tcW w:w="2408" w:type="dxa"/>
            <w:tcBorders>
              <w:top w:val="nil"/>
              <w:left w:val="nil"/>
              <w:bottom w:val="single" w:color="auto" w:sz="8" w:space="0"/>
              <w:right w:val="single" w:color="auto" w:sz="8" w:space="0"/>
            </w:tcBorders>
            <w:shd w:val="clear" w:color="auto" w:fill="FFFFFF"/>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 w:val="24"/>
              </w:rPr>
              <w:t>符合《湖南省医疗保障信用管理办法》规定</w:t>
            </w:r>
          </w:p>
        </w:tc>
        <w:tc>
          <w:tcPr>
            <w:tcW w:w="4433" w:type="dxa"/>
            <w:tcBorders>
              <w:top w:val="nil"/>
              <w:left w:val="nil"/>
              <w:bottom w:val="single" w:color="auto" w:sz="8" w:space="0"/>
              <w:right w:val="single" w:color="auto" w:sz="8" w:space="0"/>
            </w:tcBorders>
            <w:shd w:val="clear" w:color="auto" w:fill="FFFFFF"/>
            <w:tcMar>
              <w:top w:w="0" w:type="dxa"/>
              <w:left w:w="405" w:type="dxa"/>
              <w:bottom w:w="0" w:type="dxa"/>
              <w:right w:w="0" w:type="dxa"/>
            </w:tcMar>
            <w:vAlign w:val="center"/>
          </w:tcPr>
          <w:p>
            <w:pPr>
              <w:widowControl/>
              <w:jc w:val="center"/>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4"/>
              </w:rPr>
              <w:t>第二十</w:t>
            </w:r>
            <w:r>
              <w:rPr>
                <w:rFonts w:hint="default" w:ascii="Times New Roman" w:hAnsi="Times New Roman" w:eastAsia="宋体" w:cs="Times New Roman"/>
                <w:kern w:val="0"/>
                <w:sz w:val="24"/>
                <w:lang w:eastAsia="zh-CN"/>
              </w:rPr>
              <w:t>四</w:t>
            </w:r>
            <w:r>
              <w:rPr>
                <w:rFonts w:hint="default" w:ascii="Times New Roman" w:hAnsi="Times New Roman" w:eastAsia="宋体" w:cs="Times New Roman"/>
                <w:kern w:val="0"/>
                <w:sz w:val="24"/>
              </w:rPr>
              <w:t>条规定：符合□ 不符合□</w:t>
            </w:r>
          </w:p>
        </w:tc>
      </w:tr>
      <w:tr>
        <w:tblPrEx>
          <w:shd w:val="clear" w:color="auto" w:fill="FFFFFF"/>
          <w:tblCellMar>
            <w:top w:w="0" w:type="dxa"/>
            <w:left w:w="0" w:type="dxa"/>
            <w:bottom w:w="0" w:type="dxa"/>
            <w:right w:w="0" w:type="dxa"/>
          </w:tblCellMar>
        </w:tblPrEx>
        <w:trPr>
          <w:trHeight w:val="788" w:hRule="atLeast"/>
          <w:jc w:val="center"/>
        </w:trPr>
        <w:tc>
          <w:tcPr>
            <w:tcW w:w="8338" w:type="dxa"/>
            <w:gridSpan w:val="3"/>
            <w:tcBorders>
              <w:top w:val="single" w:color="auto" w:sz="8" w:space="0"/>
              <w:left w:val="single" w:color="auto" w:sz="8" w:space="0"/>
              <w:bottom w:val="nil"/>
              <w:right w:val="single" w:color="000000" w:sz="6" w:space="0"/>
            </w:tcBorders>
            <w:shd w:val="clear" w:color="auto" w:fill="FFFFFF"/>
            <w:tcMar>
              <w:top w:w="0" w:type="dxa"/>
              <w:left w:w="1215" w:type="dxa"/>
              <w:bottom w:w="0" w:type="dxa"/>
              <w:right w:w="0" w:type="dxa"/>
            </w:tcMar>
            <w:vAlign w:val="center"/>
          </w:tcPr>
          <w:p>
            <w:pPr>
              <w:widowControl/>
              <w:jc w:val="center"/>
              <w:rPr>
                <w:rFonts w:hint="default" w:ascii="Times New Roman" w:hAnsi="Times New Roman" w:eastAsia="宋体" w:cs="Times New Roman"/>
                <w:kern w:val="0"/>
                <w:sz w:val="32"/>
                <w:szCs w:val="32"/>
              </w:rPr>
            </w:pPr>
          </w:p>
        </w:tc>
      </w:tr>
      <w:tr>
        <w:tblPrEx>
          <w:shd w:val="clear" w:color="auto" w:fill="FFFFFF"/>
          <w:tblCellMar>
            <w:top w:w="0" w:type="dxa"/>
            <w:left w:w="0" w:type="dxa"/>
            <w:bottom w:w="0" w:type="dxa"/>
            <w:right w:w="0" w:type="dxa"/>
          </w:tblCellMar>
        </w:tblPrEx>
        <w:trPr>
          <w:trHeight w:val="721" w:hRule="atLeast"/>
          <w:jc w:val="center"/>
        </w:trPr>
        <w:tc>
          <w:tcPr>
            <w:tcW w:w="8338" w:type="dxa"/>
            <w:gridSpan w:val="3"/>
            <w:tcBorders>
              <w:top w:val="nil"/>
              <w:left w:val="single" w:color="auto" w:sz="8" w:space="0"/>
              <w:bottom w:val="nil"/>
              <w:right w:val="single" w:color="000000" w:sz="6" w:space="0"/>
            </w:tcBorders>
            <w:shd w:val="clear" w:color="auto" w:fill="FFFFFF"/>
            <w:tcMar>
              <w:top w:w="0" w:type="dxa"/>
              <w:left w:w="1215" w:type="dxa"/>
              <w:bottom w:w="0" w:type="dxa"/>
              <w:right w:w="0" w:type="dxa"/>
            </w:tcMar>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 w:val="24"/>
              </w:rPr>
              <w:t>本单位（本人）声明，提交的材料真实有效。</w:t>
            </w:r>
          </w:p>
        </w:tc>
      </w:tr>
      <w:tr>
        <w:tblPrEx>
          <w:shd w:val="clear" w:color="auto" w:fill="FFFFFF"/>
          <w:tblCellMar>
            <w:top w:w="0" w:type="dxa"/>
            <w:left w:w="0" w:type="dxa"/>
            <w:bottom w:w="0" w:type="dxa"/>
            <w:right w:w="0" w:type="dxa"/>
          </w:tblCellMar>
        </w:tblPrEx>
        <w:trPr>
          <w:trHeight w:val="697" w:hRule="atLeast"/>
          <w:jc w:val="center"/>
        </w:trPr>
        <w:tc>
          <w:tcPr>
            <w:tcW w:w="8338" w:type="dxa"/>
            <w:gridSpan w:val="3"/>
            <w:tcBorders>
              <w:top w:val="nil"/>
              <w:left w:val="single" w:color="auto" w:sz="8" w:space="0"/>
              <w:bottom w:val="nil"/>
              <w:right w:val="single" w:color="000000" w:sz="6" w:space="0"/>
            </w:tcBorders>
            <w:shd w:val="clear" w:color="auto" w:fill="FFFFFF"/>
            <w:tcMar>
              <w:top w:w="0" w:type="dxa"/>
              <w:left w:w="2835" w:type="dxa"/>
              <w:bottom w:w="0" w:type="dxa"/>
              <w:right w:w="0" w:type="dxa"/>
            </w:tcMar>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 w:val="24"/>
              </w:rPr>
              <w:t>法定代表人（自然人）签字： （盖章）</w:t>
            </w:r>
          </w:p>
        </w:tc>
      </w:tr>
      <w:tr>
        <w:tblPrEx>
          <w:shd w:val="clear" w:color="auto" w:fill="FFFFFF"/>
          <w:tblCellMar>
            <w:top w:w="0" w:type="dxa"/>
            <w:left w:w="0" w:type="dxa"/>
            <w:bottom w:w="0" w:type="dxa"/>
            <w:right w:w="0" w:type="dxa"/>
          </w:tblCellMar>
        </w:tblPrEx>
        <w:trPr>
          <w:trHeight w:val="732" w:hRule="atLeast"/>
          <w:jc w:val="center"/>
        </w:trPr>
        <w:tc>
          <w:tcPr>
            <w:tcW w:w="8338" w:type="dxa"/>
            <w:gridSpan w:val="3"/>
            <w:tcBorders>
              <w:top w:val="nil"/>
              <w:left w:val="single" w:color="auto" w:sz="8" w:space="0"/>
              <w:bottom w:val="single" w:color="auto" w:sz="8" w:space="0"/>
              <w:right w:val="single" w:color="000000" w:sz="6" w:space="0"/>
            </w:tcBorders>
            <w:shd w:val="clear" w:color="auto" w:fill="FFFFFF"/>
            <w:tcMar>
              <w:top w:w="0" w:type="dxa"/>
              <w:left w:w="6075" w:type="dxa"/>
              <w:bottom w:w="0" w:type="dxa"/>
              <w:right w:w="0" w:type="dxa"/>
            </w:tcMar>
            <w:vAlign w:val="center"/>
          </w:tcPr>
          <w:p>
            <w:pPr>
              <w:widowControl/>
              <w:rPr>
                <w:rFonts w:hint="default" w:ascii="Times New Roman" w:hAnsi="Times New Roman" w:eastAsia="宋体" w:cs="Times New Roman"/>
                <w:kern w:val="0"/>
                <w:szCs w:val="21"/>
              </w:rPr>
            </w:pPr>
            <w:r>
              <w:rPr>
                <w:rFonts w:hint="default" w:ascii="Times New Roman" w:hAnsi="Times New Roman" w:eastAsia="宋体" w:cs="Times New Roman"/>
                <w:kern w:val="0"/>
                <w:sz w:val="24"/>
              </w:rPr>
              <w:t>申请日期：</w:t>
            </w:r>
          </w:p>
        </w:tc>
      </w:tr>
    </w:tbl>
    <w:p>
      <w:pPr>
        <w:widowControl/>
        <w:shd w:val="clear" w:color="auto" w:fill="FFFFFF"/>
        <w:spacing w:line="720" w:lineRule="atLeast"/>
        <w:jc w:val="left"/>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附件4</w:t>
      </w:r>
    </w:p>
    <w:p>
      <w:pPr>
        <w:spacing w:line="560" w:lineRule="exact"/>
        <w:jc w:val="center"/>
        <w:outlineLvl w:val="0"/>
        <w:rPr>
          <w:rFonts w:hint="default" w:ascii="Times New Roman" w:hAnsi="Times New Roman" w:eastAsia="方正小标宋_GBK" w:cs="Times New Roman"/>
          <w:b w:val="0"/>
          <w:bCs w:val="0"/>
          <w:sz w:val="44"/>
          <w:szCs w:val="44"/>
        </w:rPr>
      </w:pPr>
      <w:r>
        <w:rPr>
          <w:rFonts w:hint="default" w:ascii="Times New Roman" w:hAnsi="Times New Roman" w:eastAsia="方正小标宋_GBK" w:cs="Times New Roman"/>
          <w:b w:val="0"/>
          <w:bCs w:val="0"/>
          <w:sz w:val="44"/>
          <w:szCs w:val="44"/>
        </w:rPr>
        <w:t>湖南省医疗保障信用修复确认通知书</w:t>
      </w:r>
    </w:p>
    <w:p>
      <w:pPr>
        <w:spacing w:line="560" w:lineRule="exact"/>
        <w:jc w:val="center"/>
        <w:outlineLvl w:val="0"/>
        <w:rPr>
          <w:rFonts w:hint="default" w:ascii="Times New Roman" w:hAnsi="Times New Roman" w:eastAsia="黑体" w:cs="Times New Roman"/>
          <w:sz w:val="30"/>
          <w:szCs w:val="30"/>
        </w:rPr>
      </w:pPr>
    </w:p>
    <w:p>
      <w:pPr>
        <w:spacing w:line="560" w:lineRule="exact"/>
        <w:jc w:val="center"/>
        <w:outlineLvl w:val="0"/>
        <w:rPr>
          <w:rFonts w:hint="default" w:ascii="Times New Roman" w:hAnsi="Times New Roman" w:cs="Times New Roman"/>
        </w:rPr>
      </w:pPr>
      <w:r>
        <w:rPr>
          <w:rFonts w:hint="default" w:ascii="Times New Roman" w:hAnsi="Times New Roman" w:eastAsia="黑体" w:cs="Times New Roman"/>
          <w:sz w:val="30"/>
          <w:szCs w:val="30"/>
          <w:lang w:val="en-US" w:eastAsia="zh-CN"/>
        </w:rPr>
        <w:t xml:space="preserve">                        </w:t>
      </w:r>
      <w:r>
        <w:rPr>
          <w:rFonts w:hint="default" w:ascii="Times New Roman" w:hAnsi="Times New Roman" w:eastAsia="黑体" w:cs="Times New Roman"/>
          <w:sz w:val="30"/>
          <w:szCs w:val="30"/>
        </w:rPr>
        <w:t>编号：</w:t>
      </w:r>
    </w:p>
    <w:tbl>
      <w:tblPr>
        <w:tblStyle w:val="6"/>
        <w:tblW w:w="9056" w:type="dxa"/>
        <w:tblInd w:w="0" w:type="dxa"/>
        <w:shd w:val="clear" w:color="auto" w:fill="FFFFFF"/>
        <w:tblLayout w:type="fixed"/>
        <w:tblCellMar>
          <w:top w:w="0" w:type="dxa"/>
          <w:left w:w="0" w:type="dxa"/>
          <w:bottom w:w="0" w:type="dxa"/>
          <w:right w:w="0" w:type="dxa"/>
        </w:tblCellMar>
      </w:tblPr>
      <w:tblGrid>
        <w:gridCol w:w="1360"/>
        <w:gridCol w:w="2125"/>
        <w:gridCol w:w="1696"/>
        <w:gridCol w:w="1208"/>
        <w:gridCol w:w="2667"/>
      </w:tblGrid>
      <w:tr>
        <w:tblPrEx>
          <w:shd w:val="clear" w:color="auto" w:fill="FFFFFF"/>
          <w:tblCellMar>
            <w:top w:w="0" w:type="dxa"/>
            <w:left w:w="0" w:type="dxa"/>
            <w:bottom w:w="0" w:type="dxa"/>
            <w:right w:w="0" w:type="dxa"/>
          </w:tblCellMar>
        </w:tblPrEx>
        <w:trPr>
          <w:trHeight w:val="825" w:hRule="atLeast"/>
        </w:trPr>
        <w:tc>
          <w:tcPr>
            <w:tcW w:w="1360" w:type="dxa"/>
            <w:vMerge w:val="restart"/>
            <w:tcBorders>
              <w:top w:val="single" w:color="auto" w:sz="8" w:space="0"/>
              <w:left w:val="single" w:color="auto" w:sz="8" w:space="0"/>
              <w:bottom w:val="single" w:color="000000" w:sz="6" w:space="0"/>
              <w:right w:val="single" w:color="auto" w:sz="8" w:space="0"/>
            </w:tcBorders>
            <w:shd w:val="clear" w:color="auto" w:fill="FFFFFF"/>
            <w:vAlign w:val="center"/>
          </w:tcPr>
          <w:p>
            <w:pPr>
              <w:widowControl/>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申请修复的失信主体</w:t>
            </w:r>
          </w:p>
        </w:tc>
        <w:tc>
          <w:tcPr>
            <w:tcW w:w="2125" w:type="dxa"/>
            <w:tcBorders>
              <w:top w:val="single" w:color="auto" w:sz="8" w:space="0"/>
              <w:left w:val="nil"/>
              <w:bottom w:val="single" w:color="auto" w:sz="8" w:space="0"/>
              <w:right w:val="single" w:color="auto" w:sz="8" w:space="0"/>
            </w:tcBorders>
            <w:shd w:val="clear" w:color="auto" w:fill="FFFFFF"/>
            <w:vAlign w:val="center"/>
          </w:tcPr>
          <w:p>
            <w:pPr>
              <w:widowControl/>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名称</w:t>
            </w:r>
          </w:p>
        </w:tc>
        <w:tc>
          <w:tcPr>
            <w:tcW w:w="5571" w:type="dxa"/>
            <w:gridSpan w:val="3"/>
            <w:tcBorders>
              <w:top w:val="single" w:color="auto" w:sz="8" w:space="0"/>
              <w:left w:val="nil"/>
              <w:bottom w:val="single" w:color="auto" w:sz="8" w:space="0"/>
              <w:right w:val="single" w:color="000000" w:sz="6" w:space="0"/>
            </w:tcBorders>
            <w:shd w:val="clear" w:color="auto" w:fill="FFFFFF"/>
            <w:vAlign w:val="center"/>
          </w:tcPr>
          <w:p>
            <w:pPr>
              <w:widowControl/>
              <w:ind w:firstLine="240" w:firstLineChars="10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（填写法人单位名称或自然人名称）</w:t>
            </w:r>
          </w:p>
        </w:tc>
      </w:tr>
      <w:tr>
        <w:tblPrEx>
          <w:tblCellMar>
            <w:top w:w="0" w:type="dxa"/>
            <w:left w:w="0" w:type="dxa"/>
            <w:bottom w:w="0" w:type="dxa"/>
            <w:right w:w="0" w:type="dxa"/>
          </w:tblCellMar>
        </w:tblPrEx>
        <w:trPr>
          <w:trHeight w:val="887" w:hRule="atLeast"/>
        </w:trPr>
        <w:tc>
          <w:tcPr>
            <w:tcW w:w="1360" w:type="dxa"/>
            <w:vMerge w:val="continue"/>
            <w:tcBorders>
              <w:top w:val="single" w:color="auto" w:sz="8" w:space="0"/>
              <w:left w:val="single" w:color="auto" w:sz="8" w:space="0"/>
              <w:bottom w:val="single" w:color="000000" w:sz="6" w:space="0"/>
              <w:right w:val="single" w:color="auto" w:sz="8" w:space="0"/>
            </w:tcBorders>
            <w:shd w:val="clear" w:color="auto" w:fill="FFFFFF"/>
            <w:vAlign w:val="center"/>
          </w:tcPr>
          <w:p>
            <w:pPr>
              <w:widowControl/>
              <w:jc w:val="left"/>
              <w:rPr>
                <w:rFonts w:hint="default" w:ascii="Times New Roman" w:hAnsi="Times New Roman" w:eastAsia="宋体" w:cs="Times New Roman"/>
                <w:kern w:val="0"/>
                <w:sz w:val="24"/>
                <w:szCs w:val="24"/>
              </w:rPr>
            </w:pPr>
          </w:p>
        </w:tc>
        <w:tc>
          <w:tcPr>
            <w:tcW w:w="2125" w:type="dxa"/>
            <w:tcBorders>
              <w:top w:val="nil"/>
              <w:left w:val="nil"/>
              <w:bottom w:val="single" w:color="auto" w:sz="8" w:space="0"/>
              <w:right w:val="single" w:color="auto" w:sz="8" w:space="0"/>
            </w:tcBorders>
            <w:shd w:val="clear" w:color="auto" w:fill="FFFFFF"/>
            <w:vAlign w:val="center"/>
          </w:tcPr>
          <w:p>
            <w:pPr>
              <w:widowControl/>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统一社会信用代码</w:t>
            </w:r>
          </w:p>
        </w:tc>
        <w:tc>
          <w:tcPr>
            <w:tcW w:w="5571" w:type="dxa"/>
            <w:gridSpan w:val="3"/>
            <w:tcBorders>
              <w:top w:val="single" w:color="auto" w:sz="8" w:space="0"/>
              <w:left w:val="nil"/>
              <w:bottom w:val="single" w:color="auto" w:sz="8" w:space="0"/>
              <w:right w:val="single" w:color="000000" w:sz="6" w:space="0"/>
            </w:tcBorders>
            <w:shd w:val="clear" w:color="auto" w:fill="FFFFFF"/>
            <w:vAlign w:val="center"/>
          </w:tcPr>
          <w:p>
            <w:pPr>
              <w:widowControl/>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（自然人填写身份证号）</w:t>
            </w:r>
          </w:p>
        </w:tc>
      </w:tr>
      <w:tr>
        <w:tblPrEx>
          <w:shd w:val="clear" w:color="auto" w:fill="FFFFFF"/>
          <w:tblCellMar>
            <w:top w:w="0" w:type="dxa"/>
            <w:left w:w="0" w:type="dxa"/>
            <w:bottom w:w="0" w:type="dxa"/>
            <w:right w:w="0" w:type="dxa"/>
          </w:tblCellMar>
        </w:tblPrEx>
        <w:trPr>
          <w:trHeight w:val="834" w:hRule="atLeast"/>
        </w:trPr>
        <w:tc>
          <w:tcPr>
            <w:tcW w:w="1360" w:type="dxa"/>
            <w:vMerge w:val="continue"/>
            <w:tcBorders>
              <w:top w:val="single" w:color="auto" w:sz="8" w:space="0"/>
              <w:left w:val="single" w:color="auto" w:sz="8" w:space="0"/>
              <w:bottom w:val="single" w:color="000000" w:sz="6" w:space="0"/>
              <w:right w:val="single" w:color="auto" w:sz="8" w:space="0"/>
            </w:tcBorders>
            <w:shd w:val="clear" w:color="auto" w:fill="FFFFFF"/>
            <w:vAlign w:val="center"/>
          </w:tcPr>
          <w:p>
            <w:pPr>
              <w:widowControl/>
              <w:jc w:val="left"/>
              <w:rPr>
                <w:rFonts w:hint="default" w:ascii="Times New Roman" w:hAnsi="Times New Roman" w:eastAsia="宋体" w:cs="Times New Roman"/>
                <w:kern w:val="0"/>
                <w:sz w:val="24"/>
                <w:szCs w:val="24"/>
              </w:rPr>
            </w:pPr>
          </w:p>
        </w:tc>
        <w:tc>
          <w:tcPr>
            <w:tcW w:w="2125" w:type="dxa"/>
            <w:tcBorders>
              <w:top w:val="nil"/>
              <w:left w:val="nil"/>
              <w:bottom w:val="single" w:color="auto" w:sz="8" w:space="0"/>
              <w:right w:val="single" w:color="auto" w:sz="8" w:space="0"/>
            </w:tcBorders>
            <w:shd w:val="clear" w:color="auto" w:fill="FFFFFF"/>
            <w:vAlign w:val="center"/>
          </w:tcPr>
          <w:p>
            <w:pPr>
              <w:widowControl/>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法定代表人</w:t>
            </w:r>
          </w:p>
        </w:tc>
        <w:tc>
          <w:tcPr>
            <w:tcW w:w="1696" w:type="dxa"/>
            <w:tcBorders>
              <w:top w:val="nil"/>
              <w:left w:val="nil"/>
              <w:bottom w:val="single" w:color="auto" w:sz="8" w:space="0"/>
              <w:right w:val="single" w:color="auto" w:sz="8" w:space="0"/>
            </w:tcBorders>
            <w:shd w:val="clear" w:color="auto" w:fill="FFFFFF"/>
            <w:vAlign w:val="center"/>
          </w:tcPr>
          <w:p>
            <w:pPr>
              <w:widowControl/>
              <w:jc w:val="center"/>
              <w:rPr>
                <w:rFonts w:hint="default" w:ascii="Times New Roman" w:hAnsi="Times New Roman" w:eastAsia="宋体" w:cs="Times New Roman"/>
                <w:kern w:val="0"/>
                <w:sz w:val="24"/>
                <w:szCs w:val="24"/>
              </w:rPr>
            </w:pPr>
          </w:p>
        </w:tc>
        <w:tc>
          <w:tcPr>
            <w:tcW w:w="1208" w:type="dxa"/>
            <w:tcBorders>
              <w:top w:val="nil"/>
              <w:left w:val="nil"/>
              <w:bottom w:val="single" w:color="auto" w:sz="8" w:space="0"/>
              <w:right w:val="single" w:color="auto" w:sz="8" w:space="0"/>
            </w:tcBorders>
            <w:shd w:val="clear" w:color="auto" w:fill="FFFFFF"/>
            <w:vAlign w:val="center"/>
          </w:tcPr>
          <w:p>
            <w:pPr>
              <w:widowControl/>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联系方式</w:t>
            </w:r>
          </w:p>
        </w:tc>
        <w:tc>
          <w:tcPr>
            <w:tcW w:w="2667" w:type="dxa"/>
            <w:tcBorders>
              <w:top w:val="nil"/>
              <w:left w:val="nil"/>
              <w:bottom w:val="single" w:color="auto" w:sz="8" w:space="0"/>
              <w:right w:val="single" w:color="auto" w:sz="8" w:space="0"/>
            </w:tcBorders>
            <w:shd w:val="clear" w:color="auto" w:fill="FFFFFF"/>
            <w:vAlign w:val="center"/>
          </w:tcPr>
          <w:p>
            <w:pPr>
              <w:widowControl/>
              <w:jc w:val="left"/>
              <w:rPr>
                <w:rFonts w:hint="default" w:ascii="Times New Roman" w:hAnsi="Times New Roman" w:eastAsia="宋体" w:cs="Times New Roman"/>
                <w:kern w:val="0"/>
                <w:sz w:val="24"/>
                <w:szCs w:val="24"/>
              </w:rPr>
            </w:pPr>
          </w:p>
        </w:tc>
      </w:tr>
      <w:tr>
        <w:tblPrEx>
          <w:tblCellMar>
            <w:top w:w="0" w:type="dxa"/>
            <w:left w:w="0" w:type="dxa"/>
            <w:bottom w:w="0" w:type="dxa"/>
            <w:right w:w="0" w:type="dxa"/>
          </w:tblCellMar>
        </w:tblPrEx>
        <w:trPr>
          <w:trHeight w:val="913" w:hRule="atLeast"/>
        </w:trPr>
        <w:tc>
          <w:tcPr>
            <w:tcW w:w="1360" w:type="dxa"/>
            <w:vMerge w:val="continue"/>
            <w:tcBorders>
              <w:top w:val="single" w:color="auto" w:sz="8" w:space="0"/>
              <w:left w:val="single" w:color="auto" w:sz="8" w:space="0"/>
              <w:bottom w:val="single" w:color="000000" w:sz="6" w:space="0"/>
              <w:right w:val="single" w:color="auto" w:sz="8" w:space="0"/>
            </w:tcBorders>
            <w:shd w:val="clear" w:color="auto" w:fill="FFFFFF"/>
            <w:vAlign w:val="center"/>
          </w:tcPr>
          <w:p>
            <w:pPr>
              <w:widowControl/>
              <w:jc w:val="left"/>
              <w:rPr>
                <w:rFonts w:hint="default" w:ascii="Times New Roman" w:hAnsi="Times New Roman" w:eastAsia="宋体" w:cs="Times New Roman"/>
                <w:kern w:val="0"/>
                <w:sz w:val="24"/>
                <w:szCs w:val="24"/>
              </w:rPr>
            </w:pPr>
          </w:p>
        </w:tc>
        <w:tc>
          <w:tcPr>
            <w:tcW w:w="2125" w:type="dxa"/>
            <w:tcBorders>
              <w:top w:val="nil"/>
              <w:left w:val="nil"/>
              <w:bottom w:val="single" w:color="auto" w:sz="8" w:space="0"/>
              <w:right w:val="single" w:color="auto" w:sz="8" w:space="0"/>
            </w:tcBorders>
            <w:shd w:val="clear" w:color="auto" w:fill="FFFFFF"/>
            <w:vAlign w:val="center"/>
          </w:tcPr>
          <w:p>
            <w:pPr>
              <w:widowControl/>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失信信息内容</w:t>
            </w:r>
          </w:p>
        </w:tc>
        <w:tc>
          <w:tcPr>
            <w:tcW w:w="5571" w:type="dxa"/>
            <w:gridSpan w:val="3"/>
            <w:tcBorders>
              <w:top w:val="single" w:color="auto" w:sz="8" w:space="0"/>
              <w:left w:val="nil"/>
              <w:bottom w:val="single" w:color="auto" w:sz="8" w:space="0"/>
              <w:right w:val="single" w:color="000000" w:sz="6" w:space="0"/>
            </w:tcBorders>
            <w:shd w:val="clear" w:color="auto" w:fill="FFFFFF"/>
            <w:vAlign w:val="center"/>
          </w:tcPr>
          <w:p>
            <w:pPr>
              <w:widowControl/>
              <w:spacing w:after="240"/>
              <w:jc w:val="left"/>
              <w:rPr>
                <w:rFonts w:hint="default" w:ascii="Times New Roman" w:hAnsi="Times New Roman" w:eastAsia="宋体" w:cs="Times New Roman"/>
                <w:kern w:val="0"/>
                <w:sz w:val="24"/>
                <w:szCs w:val="24"/>
              </w:rPr>
            </w:pPr>
          </w:p>
        </w:tc>
      </w:tr>
      <w:tr>
        <w:tblPrEx>
          <w:shd w:val="clear" w:color="auto" w:fill="FFFFFF"/>
          <w:tblCellMar>
            <w:top w:w="0" w:type="dxa"/>
            <w:left w:w="0" w:type="dxa"/>
            <w:bottom w:w="0" w:type="dxa"/>
            <w:right w:w="0" w:type="dxa"/>
          </w:tblCellMar>
        </w:tblPrEx>
        <w:trPr>
          <w:trHeight w:val="988" w:hRule="atLeast"/>
        </w:trPr>
        <w:tc>
          <w:tcPr>
            <w:tcW w:w="1360" w:type="dxa"/>
            <w:vMerge w:val="restart"/>
            <w:tcBorders>
              <w:top w:val="nil"/>
              <w:left w:val="single" w:color="auto" w:sz="8" w:space="0"/>
              <w:bottom w:val="single" w:color="000000" w:sz="6" w:space="0"/>
              <w:right w:val="single" w:color="auto" w:sz="8" w:space="0"/>
            </w:tcBorders>
            <w:shd w:val="clear" w:color="auto" w:fill="FFFFFF"/>
            <w:vAlign w:val="center"/>
          </w:tcPr>
          <w:p>
            <w:pPr>
              <w:widowControl/>
              <w:spacing w:line="360" w:lineRule="auto"/>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医疗保障</w:t>
            </w:r>
          </w:p>
          <w:p>
            <w:pPr>
              <w:widowControl/>
              <w:spacing w:line="360" w:lineRule="auto"/>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部门意见</w:t>
            </w:r>
          </w:p>
        </w:tc>
        <w:tc>
          <w:tcPr>
            <w:tcW w:w="2125" w:type="dxa"/>
            <w:vMerge w:val="restart"/>
            <w:tcBorders>
              <w:top w:val="nil"/>
              <w:left w:val="single" w:color="auto" w:sz="8" w:space="0"/>
              <w:bottom w:val="single" w:color="000000" w:sz="6" w:space="0"/>
              <w:right w:val="single" w:color="auto" w:sz="8" w:space="0"/>
            </w:tcBorders>
            <w:shd w:val="clear" w:color="auto" w:fill="FFFFFF"/>
          </w:tcPr>
          <w:p>
            <w:pPr>
              <w:widowControl/>
              <w:spacing w:line="360" w:lineRule="auto"/>
              <w:jc w:val="center"/>
              <w:rPr>
                <w:rFonts w:hint="default" w:ascii="Times New Roman" w:hAnsi="Times New Roman" w:eastAsia="宋体" w:cs="Times New Roman"/>
                <w:kern w:val="0"/>
                <w:sz w:val="24"/>
                <w:szCs w:val="24"/>
              </w:rPr>
            </w:pPr>
          </w:p>
          <w:p>
            <w:pPr>
              <w:widowControl/>
              <w:spacing w:line="360" w:lineRule="auto"/>
              <w:jc w:val="center"/>
              <w:rPr>
                <w:rFonts w:hint="default" w:ascii="Times New Roman" w:hAnsi="Times New Roman" w:eastAsia="宋体" w:cs="Times New Roman"/>
                <w:kern w:val="0"/>
                <w:sz w:val="24"/>
                <w:szCs w:val="24"/>
              </w:rPr>
            </w:pPr>
          </w:p>
          <w:p>
            <w:pPr>
              <w:widowControl/>
              <w:spacing w:line="360" w:lineRule="auto"/>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修复条件</w:t>
            </w:r>
            <w:r>
              <w:rPr>
                <w:rFonts w:hint="default" w:ascii="Times New Roman" w:hAnsi="Times New Roman" w:eastAsia="宋体" w:cs="Times New Roman"/>
                <w:kern w:val="0"/>
                <w:sz w:val="24"/>
                <w:szCs w:val="24"/>
              </w:rPr>
              <w:br w:type="textWrapping"/>
            </w:r>
            <w:r>
              <w:rPr>
                <w:rFonts w:hint="default" w:ascii="Times New Roman" w:hAnsi="Times New Roman" w:eastAsia="宋体" w:cs="Times New Roman"/>
                <w:kern w:val="0"/>
                <w:sz w:val="24"/>
                <w:szCs w:val="24"/>
              </w:rPr>
              <w:t>认定情况</w:t>
            </w:r>
          </w:p>
        </w:tc>
        <w:tc>
          <w:tcPr>
            <w:tcW w:w="5571" w:type="dxa"/>
            <w:gridSpan w:val="3"/>
            <w:vMerge w:val="restart"/>
            <w:tcBorders>
              <w:top w:val="single" w:color="auto" w:sz="8" w:space="0"/>
              <w:left w:val="single" w:color="auto" w:sz="8" w:space="0"/>
              <w:bottom w:val="single" w:color="000000" w:sz="6" w:space="0"/>
              <w:right w:val="single" w:color="000000" w:sz="6" w:space="0"/>
            </w:tcBorders>
            <w:shd w:val="clear" w:color="auto" w:fill="FFFFFF"/>
            <w:tcMar>
              <w:top w:w="0" w:type="dxa"/>
              <w:left w:w="810" w:type="dxa"/>
              <w:bottom w:w="0" w:type="dxa"/>
              <w:right w:w="0" w:type="dxa"/>
            </w:tcMar>
          </w:tcPr>
          <w:p>
            <w:pPr>
              <w:widowControl/>
              <w:spacing w:line="360" w:lineRule="auto"/>
              <w:jc w:val="left"/>
              <w:rPr>
                <w:rFonts w:hint="default" w:ascii="Times New Roman" w:hAnsi="Times New Roman" w:eastAsia="宋体" w:cs="Times New Roman"/>
                <w:kern w:val="0"/>
                <w:sz w:val="24"/>
                <w:szCs w:val="24"/>
              </w:rPr>
            </w:pPr>
            <w:r>
              <w:rPr>
                <w:rFonts w:hint="default" w:ascii="Times New Roman" w:hAnsi="Times New Roman" w:cs="Times New Roman"/>
                <w:kern w:val="0"/>
                <w:sz w:val="24"/>
                <w:szCs w:val="24"/>
              </w:rPr>
              <w:t>（1）</w:t>
            </w:r>
            <w:r>
              <w:rPr>
                <w:rFonts w:hint="default" w:ascii="Times New Roman" w:hAnsi="Times New Roman" w:eastAsia="宋体" w:cs="Times New Roman"/>
                <w:kern w:val="0"/>
                <w:sz w:val="24"/>
                <w:szCs w:val="24"/>
              </w:rPr>
              <w:t>经核实，不良信息主体达不到修复条件</w:t>
            </w:r>
            <w:r>
              <w:rPr>
                <w:rFonts w:hint="default" w:ascii="Times New Roman" w:hAnsi="Times New Roman" w:cs="Times New Roman"/>
                <w:kern w:val="0"/>
                <w:sz w:val="24"/>
                <w:szCs w:val="24"/>
              </w:rPr>
              <w:t>。</w:t>
            </w:r>
          </w:p>
          <w:p>
            <w:pPr>
              <w:widowControl/>
              <w:spacing w:line="360" w:lineRule="auto"/>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（2）经核实，不良信息主体已履行法定责任和义务，社会不良影响基本消除。至申请日，不良信息已披露年x个月，期间未产生新的记入信用档案的同类不良信息。</w:t>
            </w:r>
          </w:p>
        </w:tc>
      </w:tr>
      <w:tr>
        <w:tblPrEx>
          <w:shd w:val="clear" w:color="auto" w:fill="FFFFFF"/>
          <w:tblCellMar>
            <w:top w:w="0" w:type="dxa"/>
            <w:left w:w="0" w:type="dxa"/>
            <w:bottom w:w="0" w:type="dxa"/>
            <w:right w:w="0" w:type="dxa"/>
          </w:tblCellMar>
        </w:tblPrEx>
        <w:trPr>
          <w:trHeight w:val="2184" w:hRule="atLeast"/>
        </w:trPr>
        <w:tc>
          <w:tcPr>
            <w:tcW w:w="1360" w:type="dxa"/>
            <w:vMerge w:val="continue"/>
            <w:tcBorders>
              <w:top w:val="nil"/>
              <w:left w:val="single" w:color="auto" w:sz="8" w:space="0"/>
              <w:bottom w:val="single" w:color="000000" w:sz="6" w:space="0"/>
              <w:right w:val="single" w:color="auto" w:sz="8" w:space="0"/>
            </w:tcBorders>
            <w:shd w:val="clear" w:color="auto" w:fill="FFFFFF"/>
            <w:vAlign w:val="center"/>
          </w:tcPr>
          <w:p>
            <w:pPr>
              <w:widowControl/>
              <w:spacing w:line="360" w:lineRule="auto"/>
              <w:jc w:val="left"/>
              <w:rPr>
                <w:rFonts w:hint="default" w:ascii="Times New Roman" w:hAnsi="Times New Roman" w:eastAsia="宋体" w:cs="Times New Roman"/>
                <w:kern w:val="0"/>
                <w:sz w:val="24"/>
                <w:szCs w:val="24"/>
              </w:rPr>
            </w:pPr>
          </w:p>
        </w:tc>
        <w:tc>
          <w:tcPr>
            <w:tcW w:w="2125" w:type="dxa"/>
            <w:vMerge w:val="continue"/>
            <w:tcBorders>
              <w:top w:val="nil"/>
              <w:left w:val="single" w:color="auto" w:sz="8" w:space="0"/>
              <w:bottom w:val="single" w:color="000000" w:sz="6" w:space="0"/>
              <w:right w:val="single" w:color="auto" w:sz="8" w:space="0"/>
            </w:tcBorders>
            <w:shd w:val="clear" w:color="auto" w:fill="FFFFFF"/>
            <w:vAlign w:val="center"/>
          </w:tcPr>
          <w:p>
            <w:pPr>
              <w:widowControl/>
              <w:spacing w:line="360" w:lineRule="auto"/>
              <w:jc w:val="left"/>
              <w:rPr>
                <w:rFonts w:hint="default" w:ascii="Times New Roman" w:hAnsi="Times New Roman" w:eastAsia="宋体" w:cs="Times New Roman"/>
                <w:kern w:val="0"/>
                <w:sz w:val="24"/>
                <w:szCs w:val="24"/>
              </w:rPr>
            </w:pPr>
          </w:p>
        </w:tc>
        <w:tc>
          <w:tcPr>
            <w:tcW w:w="5571" w:type="dxa"/>
            <w:gridSpan w:val="3"/>
            <w:vMerge w:val="continue"/>
            <w:tcBorders>
              <w:top w:val="single" w:color="auto" w:sz="8" w:space="0"/>
              <w:left w:val="single" w:color="auto" w:sz="8" w:space="0"/>
              <w:bottom w:val="single" w:color="000000" w:sz="6" w:space="0"/>
              <w:right w:val="single" w:color="000000" w:sz="6" w:space="0"/>
            </w:tcBorders>
            <w:shd w:val="clear" w:color="auto" w:fill="FFFFFF"/>
            <w:vAlign w:val="center"/>
          </w:tcPr>
          <w:p>
            <w:pPr>
              <w:widowControl/>
              <w:spacing w:line="360" w:lineRule="auto"/>
              <w:jc w:val="left"/>
              <w:rPr>
                <w:rFonts w:hint="default" w:ascii="Times New Roman" w:hAnsi="Times New Roman" w:eastAsia="宋体" w:cs="Times New Roman"/>
                <w:kern w:val="0"/>
                <w:sz w:val="24"/>
                <w:szCs w:val="24"/>
              </w:rPr>
            </w:pPr>
          </w:p>
        </w:tc>
      </w:tr>
      <w:tr>
        <w:tblPrEx>
          <w:shd w:val="clear" w:color="auto" w:fill="FFFFFF"/>
          <w:tblCellMar>
            <w:top w:w="0" w:type="dxa"/>
            <w:left w:w="0" w:type="dxa"/>
            <w:bottom w:w="0" w:type="dxa"/>
            <w:right w:w="0" w:type="dxa"/>
          </w:tblCellMar>
        </w:tblPrEx>
        <w:trPr>
          <w:trHeight w:val="1236" w:hRule="atLeast"/>
        </w:trPr>
        <w:tc>
          <w:tcPr>
            <w:tcW w:w="1360" w:type="dxa"/>
            <w:vMerge w:val="restart"/>
            <w:tcBorders>
              <w:top w:val="nil"/>
              <w:left w:val="single" w:color="auto" w:sz="8" w:space="0"/>
              <w:bottom w:val="single" w:color="000000" w:sz="6" w:space="0"/>
              <w:right w:val="single" w:color="auto" w:sz="8" w:space="0"/>
            </w:tcBorders>
            <w:shd w:val="clear" w:color="auto" w:fill="FFFFFF"/>
            <w:vAlign w:val="center"/>
          </w:tcPr>
          <w:p>
            <w:pPr>
              <w:widowControl/>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修复处理</w:t>
            </w:r>
          </w:p>
          <w:p>
            <w:pPr>
              <w:widowControl/>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意见</w:t>
            </w:r>
          </w:p>
        </w:tc>
        <w:tc>
          <w:tcPr>
            <w:tcW w:w="7696" w:type="dxa"/>
            <w:gridSpan w:val="4"/>
            <w:tcBorders>
              <w:top w:val="single" w:color="auto" w:sz="8" w:space="0"/>
              <w:left w:val="nil"/>
              <w:bottom w:val="nil"/>
              <w:right w:val="single" w:color="000000" w:sz="6" w:space="0"/>
            </w:tcBorders>
            <w:shd w:val="clear" w:color="auto" w:fill="FFFFFF"/>
            <w:tcMar>
              <w:top w:w="0" w:type="dxa"/>
              <w:left w:w="0" w:type="dxa"/>
              <w:bottom w:w="0" w:type="dxa"/>
              <w:right w:w="810" w:type="dxa"/>
            </w:tcMar>
            <w:vAlign w:val="center"/>
          </w:tcPr>
          <w:p>
            <w:pPr>
              <w:widowControl/>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予以修复□     不予修复□</w:t>
            </w:r>
          </w:p>
        </w:tc>
      </w:tr>
      <w:tr>
        <w:tblPrEx>
          <w:shd w:val="clear" w:color="auto" w:fill="FFFFFF"/>
          <w:tblCellMar>
            <w:top w:w="0" w:type="dxa"/>
            <w:left w:w="0" w:type="dxa"/>
            <w:bottom w:w="0" w:type="dxa"/>
            <w:right w:w="0" w:type="dxa"/>
          </w:tblCellMar>
        </w:tblPrEx>
        <w:trPr>
          <w:trHeight w:val="804" w:hRule="atLeast"/>
        </w:trPr>
        <w:tc>
          <w:tcPr>
            <w:tcW w:w="1360" w:type="dxa"/>
            <w:vMerge w:val="continue"/>
            <w:tcBorders>
              <w:top w:val="nil"/>
              <w:left w:val="single" w:color="auto" w:sz="8" w:space="0"/>
              <w:bottom w:val="single" w:color="000000" w:sz="6" w:space="0"/>
              <w:right w:val="single" w:color="auto" w:sz="8" w:space="0"/>
            </w:tcBorders>
            <w:shd w:val="clear" w:color="auto" w:fill="FFFFFF"/>
            <w:vAlign w:val="center"/>
          </w:tcPr>
          <w:p>
            <w:pPr>
              <w:widowControl/>
              <w:jc w:val="left"/>
              <w:rPr>
                <w:rFonts w:hint="default" w:ascii="Times New Roman" w:hAnsi="Times New Roman" w:eastAsia="宋体" w:cs="Times New Roman"/>
                <w:kern w:val="0"/>
                <w:sz w:val="24"/>
                <w:szCs w:val="24"/>
              </w:rPr>
            </w:pPr>
          </w:p>
        </w:tc>
        <w:tc>
          <w:tcPr>
            <w:tcW w:w="7696" w:type="dxa"/>
            <w:gridSpan w:val="4"/>
            <w:tcBorders>
              <w:top w:val="nil"/>
              <w:left w:val="nil"/>
              <w:bottom w:val="nil"/>
              <w:right w:val="single" w:color="000000" w:sz="6" w:space="0"/>
            </w:tcBorders>
            <w:shd w:val="clear" w:color="auto" w:fill="FFFFFF"/>
            <w:tcMar>
              <w:top w:w="0" w:type="dxa"/>
              <w:left w:w="0" w:type="dxa"/>
              <w:bottom w:w="0" w:type="dxa"/>
              <w:right w:w="810" w:type="dxa"/>
            </w:tcMar>
            <w:vAlign w:val="center"/>
          </w:tcPr>
          <w:p>
            <w:pPr>
              <w:widowControl/>
              <w:jc w:val="right"/>
              <w:rPr>
                <w:rFonts w:hint="default" w:ascii="Times New Roman" w:hAnsi="Times New Roman" w:eastAsia="宋体" w:cs="Times New Roman"/>
                <w:kern w:val="0"/>
                <w:sz w:val="24"/>
                <w:szCs w:val="24"/>
              </w:rPr>
            </w:pPr>
          </w:p>
        </w:tc>
      </w:tr>
      <w:tr>
        <w:tblPrEx>
          <w:tblCellMar>
            <w:top w:w="0" w:type="dxa"/>
            <w:left w:w="0" w:type="dxa"/>
            <w:bottom w:w="0" w:type="dxa"/>
            <w:right w:w="0" w:type="dxa"/>
          </w:tblCellMar>
        </w:tblPrEx>
        <w:trPr>
          <w:trHeight w:val="888" w:hRule="atLeast"/>
        </w:trPr>
        <w:tc>
          <w:tcPr>
            <w:tcW w:w="1360" w:type="dxa"/>
            <w:vMerge w:val="continue"/>
            <w:tcBorders>
              <w:top w:val="nil"/>
              <w:left w:val="single" w:color="auto" w:sz="8" w:space="0"/>
              <w:bottom w:val="single" w:color="000000" w:sz="6" w:space="0"/>
              <w:right w:val="single" w:color="auto" w:sz="8" w:space="0"/>
            </w:tcBorders>
            <w:shd w:val="clear" w:color="auto" w:fill="FFFFFF"/>
            <w:vAlign w:val="center"/>
          </w:tcPr>
          <w:p>
            <w:pPr>
              <w:widowControl/>
              <w:jc w:val="left"/>
              <w:rPr>
                <w:rFonts w:hint="default" w:ascii="Times New Roman" w:hAnsi="Times New Roman" w:eastAsia="宋体" w:cs="Times New Roman"/>
                <w:kern w:val="0"/>
                <w:sz w:val="24"/>
                <w:szCs w:val="24"/>
              </w:rPr>
            </w:pPr>
          </w:p>
        </w:tc>
        <w:tc>
          <w:tcPr>
            <w:tcW w:w="7696" w:type="dxa"/>
            <w:gridSpan w:val="4"/>
            <w:tcBorders>
              <w:top w:val="nil"/>
              <w:left w:val="nil"/>
              <w:bottom w:val="nil"/>
              <w:right w:val="single" w:color="000000" w:sz="6" w:space="0"/>
            </w:tcBorders>
            <w:shd w:val="clear" w:color="auto" w:fill="FFFFFF"/>
            <w:vAlign w:val="center"/>
          </w:tcPr>
          <w:p>
            <w:pPr>
              <w:widowControl/>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  经办人：          单位（盖章） </w:t>
            </w:r>
          </w:p>
        </w:tc>
      </w:tr>
      <w:tr>
        <w:tblPrEx>
          <w:tblCellMar>
            <w:top w:w="0" w:type="dxa"/>
            <w:left w:w="0" w:type="dxa"/>
            <w:bottom w:w="0" w:type="dxa"/>
            <w:right w:w="0" w:type="dxa"/>
          </w:tblCellMar>
        </w:tblPrEx>
        <w:trPr>
          <w:trHeight w:val="888" w:hRule="atLeast"/>
        </w:trPr>
        <w:tc>
          <w:tcPr>
            <w:tcW w:w="1360" w:type="dxa"/>
            <w:vMerge w:val="continue"/>
            <w:tcBorders>
              <w:top w:val="nil"/>
              <w:left w:val="single" w:color="auto" w:sz="8" w:space="0"/>
              <w:bottom w:val="single" w:color="000000" w:sz="6" w:space="0"/>
              <w:right w:val="single" w:color="auto" w:sz="8" w:space="0"/>
            </w:tcBorders>
            <w:shd w:val="clear" w:color="auto" w:fill="FFFFFF"/>
            <w:vAlign w:val="center"/>
          </w:tcPr>
          <w:p>
            <w:pPr>
              <w:widowControl/>
              <w:jc w:val="left"/>
              <w:rPr>
                <w:rFonts w:hint="default" w:ascii="Times New Roman" w:hAnsi="Times New Roman" w:eastAsia="宋体" w:cs="Times New Roman"/>
                <w:kern w:val="0"/>
                <w:sz w:val="24"/>
                <w:szCs w:val="24"/>
              </w:rPr>
            </w:pPr>
          </w:p>
        </w:tc>
        <w:tc>
          <w:tcPr>
            <w:tcW w:w="7696" w:type="dxa"/>
            <w:gridSpan w:val="4"/>
            <w:tcBorders>
              <w:top w:val="nil"/>
              <w:left w:val="nil"/>
              <w:bottom w:val="single" w:color="auto" w:sz="8" w:space="0"/>
              <w:right w:val="single" w:color="000000" w:sz="6" w:space="0"/>
            </w:tcBorders>
            <w:shd w:val="clear" w:color="auto" w:fill="FFFFFF"/>
            <w:tcMar>
              <w:top w:w="0" w:type="dxa"/>
              <w:left w:w="0" w:type="dxa"/>
              <w:bottom w:w="0" w:type="dxa"/>
              <w:right w:w="810" w:type="dxa"/>
            </w:tcMar>
            <w:vAlign w:val="center"/>
          </w:tcPr>
          <w:p>
            <w:pPr>
              <w:widowControl/>
              <w:jc w:val="righ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年  月    日 </w:t>
            </w:r>
          </w:p>
        </w:tc>
      </w:tr>
    </w:tbl>
    <w:p>
      <w:pPr>
        <w:rPr>
          <w:rFonts w:hint="default" w:ascii="Times New Roman" w:hAnsi="Times New Roman" w:cs="Times New Roman"/>
        </w:rPr>
      </w:pPr>
    </w:p>
    <w:sectPr>
      <w:footerReference r:id="rId3" w:type="default"/>
      <w:pgSz w:w="11906" w:h="16838"/>
      <w:pgMar w:top="1984" w:right="1417" w:bottom="1474" w:left="1587" w:header="851" w:footer="992" w:gutter="0"/>
      <w:pgNumType w:fmt="numberInDash"/>
      <w:cols w:space="0" w:num="1"/>
      <w:titlePg/>
      <w:rtlGutter w:val="0"/>
      <w:docGrid w:type="lines" w:linePitch="32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E6F2AFC-6FCD-4BAC-944E-59DADA184A4D}"/>
  </w:font>
  <w:font w:name="Arial">
    <w:panose1 w:val="020B0604020202020204"/>
    <w:charset w:val="01"/>
    <w:family w:val="swiss"/>
    <w:pitch w:val="default"/>
    <w:sig w:usb0="E0002EFF" w:usb1="C000785B" w:usb2="00000009" w:usb3="00000000" w:csb0="400001FF" w:csb1="FFFF0000"/>
    <w:embedRegular r:id="rId2" w:fontKey="{29CF22BA-792F-447B-9271-3BCCDA98D79B}"/>
  </w:font>
  <w:font w:name="黑体">
    <w:panose1 w:val="02010609060101010101"/>
    <w:charset w:val="86"/>
    <w:family w:val="auto"/>
    <w:pitch w:val="default"/>
    <w:sig w:usb0="800002BF" w:usb1="38CF7CFA" w:usb2="00000016" w:usb3="00000000" w:csb0="00040001" w:csb1="00000000"/>
    <w:embedRegular r:id="rId3" w:fontKey="{ECC35910-A937-48CD-974E-5FF6ABEDB35E}"/>
  </w:font>
  <w:font w:name="Courier New">
    <w:panose1 w:val="02070309020205020404"/>
    <w:charset w:val="01"/>
    <w:family w:val="modern"/>
    <w:pitch w:val="default"/>
    <w:sig w:usb0="E0002EFF" w:usb1="C0007843" w:usb2="00000009" w:usb3="00000000" w:csb0="400001FF" w:csb1="FFFF0000"/>
    <w:embedRegular r:id="rId4" w:fontKey="{589AE08F-347E-4DB4-BB35-9C374990A5A6}"/>
  </w:font>
  <w:font w:name="Symbol">
    <w:panose1 w:val="05050102010706020507"/>
    <w:charset w:val="02"/>
    <w:family w:val="roman"/>
    <w:pitch w:val="default"/>
    <w:sig w:usb0="00000000" w:usb1="00000000" w:usb2="00000000" w:usb3="00000000" w:csb0="80000000" w:csb1="00000000"/>
    <w:embedRegular r:id="rId5" w:fontKey="{B0153142-9A95-4C5D-A2A9-F862C25B2DF7}"/>
  </w:font>
  <w:font w:name="Calibri">
    <w:panose1 w:val="020F0502020204030204"/>
    <w:charset w:val="00"/>
    <w:family w:val="swiss"/>
    <w:pitch w:val="default"/>
    <w:sig w:usb0="E4002EFF" w:usb1="C000247B" w:usb2="00000009" w:usb3="00000000" w:csb0="200001FF" w:csb1="00000000"/>
    <w:embedRegular r:id="rId6" w:fontKey="{2FE8509E-04DD-4952-899F-6140931DCC6C}"/>
  </w:font>
  <w:font w:name="仿宋_GB2312">
    <w:panose1 w:val="02010609030101010101"/>
    <w:charset w:val="86"/>
    <w:family w:val="modern"/>
    <w:pitch w:val="default"/>
    <w:sig w:usb0="00000001" w:usb1="080E0000" w:usb2="00000000" w:usb3="00000000" w:csb0="00040000" w:csb1="00000000"/>
    <w:embedRegular r:id="rId7" w:fontKey="{10F101AC-DA70-4AD6-9DA4-D6FA13F3F67F}"/>
  </w:font>
  <w:font w:name="方正仿宋简体">
    <w:panose1 w:val="03000509000000000000"/>
    <w:charset w:val="86"/>
    <w:family w:val="script"/>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embedRegular r:id="rId8" w:fontKey="{AACFF303-61FE-4DED-8354-8190263CA3AE}"/>
  </w:font>
  <w:font w:name="楷体_GB2312">
    <w:panose1 w:val="02010609030101010101"/>
    <w:charset w:val="86"/>
    <w:family w:val="roman"/>
    <w:pitch w:val="default"/>
    <w:sig w:usb0="00000001" w:usb1="080E0000" w:usb2="00000000" w:usb3="00000000" w:csb0="00040000" w:csb1="00000000"/>
    <w:embedRegular r:id="rId9" w:fontKey="{E2C8B829-3426-404D-B648-374F901F3754}"/>
  </w:font>
  <w:font w:name="仿宋">
    <w:panose1 w:val="02010609060101010101"/>
    <w:charset w:val="86"/>
    <w:family w:val="modern"/>
    <w:pitch w:val="default"/>
    <w:sig w:usb0="800002BF" w:usb1="38CF7CFA" w:usb2="00000016" w:usb3="00000000" w:csb0="00040001" w:csb1="00000000"/>
    <w:embedRegular r:id="rId10" w:fontKey="{C24D907D-B53B-4DE9-8F5A-564F743EC9D5}"/>
  </w:font>
  <w:font w:name="微软雅黑">
    <w:panose1 w:val="020B0503020204020204"/>
    <w:charset w:val="86"/>
    <w:family w:val="swiss"/>
    <w:pitch w:val="default"/>
    <w:sig w:usb0="80000287" w:usb1="2ACF3C50" w:usb2="00000016" w:usb3="00000000" w:csb0="0004001F" w:csb1="00000000"/>
    <w:embedRegular r:id="rId11" w:fontKey="{394CFFE2-8964-4261-B61F-5E9381EEB4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
                          </w:pPr>
                          <w:r>
                            <w:rPr>
                              <w:rFonts w:hint="eastAsia" w:ascii="楷体_GB2312" w:hAnsi="楷体_GB2312" w:eastAsia="楷体_GB2312" w:cs="楷体_GB2312"/>
                              <w:sz w:val="28"/>
                              <w:szCs w:val="28"/>
                            </w:rPr>
                            <w:fldChar w:fldCharType="begin"/>
                          </w:r>
                          <w:r>
                            <w:rPr>
                              <w:rFonts w:hint="eastAsia" w:ascii="楷体_GB2312" w:hAnsi="楷体_GB2312" w:eastAsia="楷体_GB2312" w:cs="楷体_GB2312"/>
                              <w:sz w:val="28"/>
                              <w:szCs w:val="28"/>
                            </w:rPr>
                            <w:instrText xml:space="preserve"> PAGE  \* MERGEFORMAT </w:instrText>
                          </w:r>
                          <w:r>
                            <w:rPr>
                              <w:rFonts w:hint="eastAsia" w:ascii="楷体_GB2312" w:hAnsi="楷体_GB2312" w:eastAsia="楷体_GB2312" w:cs="楷体_GB2312"/>
                              <w:sz w:val="28"/>
                              <w:szCs w:val="28"/>
                            </w:rPr>
                            <w:fldChar w:fldCharType="separate"/>
                          </w:r>
                          <w:r>
                            <w:rPr>
                              <w:rFonts w:ascii="楷体_GB2312" w:hAnsi="楷体_GB2312" w:eastAsia="楷体_GB2312" w:cs="楷体_GB2312"/>
                              <w:sz w:val="28"/>
                              <w:szCs w:val="28"/>
                            </w:rPr>
                            <w:t>- 13 -</w:t>
                          </w:r>
                          <w:r>
                            <w:rPr>
                              <w:rFonts w:hint="eastAsia" w:ascii="楷体_GB2312" w:hAnsi="楷体_GB2312" w:eastAsia="楷体_GB2312" w:cs="楷体_GB2312"/>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pPr>
                      <w:pStyle w:val="3"/>
                    </w:pPr>
                    <w:r>
                      <w:rPr>
                        <w:rFonts w:hint="eastAsia" w:ascii="楷体_GB2312" w:hAnsi="楷体_GB2312" w:eastAsia="楷体_GB2312" w:cs="楷体_GB2312"/>
                        <w:sz w:val="28"/>
                        <w:szCs w:val="28"/>
                      </w:rPr>
                      <w:fldChar w:fldCharType="begin"/>
                    </w:r>
                    <w:r>
                      <w:rPr>
                        <w:rFonts w:hint="eastAsia" w:ascii="楷体_GB2312" w:hAnsi="楷体_GB2312" w:eastAsia="楷体_GB2312" w:cs="楷体_GB2312"/>
                        <w:sz w:val="28"/>
                        <w:szCs w:val="28"/>
                      </w:rPr>
                      <w:instrText xml:space="preserve"> PAGE  \* MERGEFORMAT </w:instrText>
                    </w:r>
                    <w:r>
                      <w:rPr>
                        <w:rFonts w:hint="eastAsia" w:ascii="楷体_GB2312" w:hAnsi="楷体_GB2312" w:eastAsia="楷体_GB2312" w:cs="楷体_GB2312"/>
                        <w:sz w:val="28"/>
                        <w:szCs w:val="28"/>
                      </w:rPr>
                      <w:fldChar w:fldCharType="separate"/>
                    </w:r>
                    <w:r>
                      <w:rPr>
                        <w:rFonts w:ascii="楷体_GB2312" w:hAnsi="楷体_GB2312" w:eastAsia="楷体_GB2312" w:cs="楷体_GB2312"/>
                        <w:sz w:val="28"/>
                        <w:szCs w:val="28"/>
                      </w:rPr>
                      <w:t>- 13 -</w:t>
                    </w:r>
                    <w:r>
                      <w:rPr>
                        <w:rFonts w:hint="eastAsia" w:ascii="楷体_GB2312" w:hAnsi="楷体_GB2312" w:eastAsia="楷体_GB2312" w:cs="楷体_GB2312"/>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FF2CD"/>
    <w:multiLevelType w:val="singleLevel"/>
    <w:tmpl w:val="028FF2CD"/>
    <w:lvl w:ilvl="0" w:tentative="0">
      <w:start w:val="3"/>
      <w:numFmt w:val="chineseCounting"/>
      <w:suff w:val="space"/>
      <w:lvlText w:val="第%1章"/>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bordersDoNotSurroundHeader w:val="1"/>
  <w:bordersDoNotSurroundFooter w:val="1"/>
  <w:documentProtection w:enforcement="0"/>
  <w:defaultTabStop w:val="420"/>
  <w:drawingGridVerticalSpacing w:val="160"/>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C2A"/>
    <w:rsid w:val="00012B31"/>
    <w:rsid w:val="00012C81"/>
    <w:rsid w:val="00065213"/>
    <w:rsid w:val="0008627A"/>
    <w:rsid w:val="000C272C"/>
    <w:rsid w:val="00101120"/>
    <w:rsid w:val="00114756"/>
    <w:rsid w:val="00171307"/>
    <w:rsid w:val="00191F8F"/>
    <w:rsid w:val="002003B7"/>
    <w:rsid w:val="00251B0A"/>
    <w:rsid w:val="00255F39"/>
    <w:rsid w:val="002D0F03"/>
    <w:rsid w:val="003459D8"/>
    <w:rsid w:val="00416045"/>
    <w:rsid w:val="00491730"/>
    <w:rsid w:val="00512BD7"/>
    <w:rsid w:val="00516B60"/>
    <w:rsid w:val="005453C5"/>
    <w:rsid w:val="00545720"/>
    <w:rsid w:val="00560587"/>
    <w:rsid w:val="00571219"/>
    <w:rsid w:val="00571732"/>
    <w:rsid w:val="0059558E"/>
    <w:rsid w:val="005A30CF"/>
    <w:rsid w:val="005E721D"/>
    <w:rsid w:val="006070B8"/>
    <w:rsid w:val="00660DD4"/>
    <w:rsid w:val="00670546"/>
    <w:rsid w:val="006C2CAD"/>
    <w:rsid w:val="006F5870"/>
    <w:rsid w:val="00724320"/>
    <w:rsid w:val="00767C13"/>
    <w:rsid w:val="007A0093"/>
    <w:rsid w:val="007B6533"/>
    <w:rsid w:val="007B75F6"/>
    <w:rsid w:val="007D0753"/>
    <w:rsid w:val="007D4663"/>
    <w:rsid w:val="007D7C2F"/>
    <w:rsid w:val="007F0BB6"/>
    <w:rsid w:val="0081177A"/>
    <w:rsid w:val="00815E75"/>
    <w:rsid w:val="00885FDD"/>
    <w:rsid w:val="008F0551"/>
    <w:rsid w:val="00943E5C"/>
    <w:rsid w:val="009510CE"/>
    <w:rsid w:val="009E154C"/>
    <w:rsid w:val="009E6018"/>
    <w:rsid w:val="009E63C6"/>
    <w:rsid w:val="00A4695B"/>
    <w:rsid w:val="00A7649D"/>
    <w:rsid w:val="00AB1553"/>
    <w:rsid w:val="00AC4859"/>
    <w:rsid w:val="00B676E8"/>
    <w:rsid w:val="00B714A0"/>
    <w:rsid w:val="00BB06B6"/>
    <w:rsid w:val="00C057A9"/>
    <w:rsid w:val="00C26310"/>
    <w:rsid w:val="00C83E0E"/>
    <w:rsid w:val="00CA0FC7"/>
    <w:rsid w:val="00CA7070"/>
    <w:rsid w:val="00CB133F"/>
    <w:rsid w:val="00D06292"/>
    <w:rsid w:val="00D27C93"/>
    <w:rsid w:val="00D42875"/>
    <w:rsid w:val="00D61FE3"/>
    <w:rsid w:val="00D82ED8"/>
    <w:rsid w:val="00DE1E8E"/>
    <w:rsid w:val="00E25303"/>
    <w:rsid w:val="00E40F68"/>
    <w:rsid w:val="00EC7C2A"/>
    <w:rsid w:val="00ED335C"/>
    <w:rsid w:val="00EE7289"/>
    <w:rsid w:val="00FA2B03"/>
    <w:rsid w:val="00FB0B8A"/>
    <w:rsid w:val="00FD2C57"/>
    <w:rsid w:val="01194A4E"/>
    <w:rsid w:val="012112E0"/>
    <w:rsid w:val="01696D22"/>
    <w:rsid w:val="016B6F39"/>
    <w:rsid w:val="01796EC6"/>
    <w:rsid w:val="01AB300B"/>
    <w:rsid w:val="01D661EA"/>
    <w:rsid w:val="01ED669D"/>
    <w:rsid w:val="01FC0AD8"/>
    <w:rsid w:val="020D2CBB"/>
    <w:rsid w:val="021E6B56"/>
    <w:rsid w:val="02256F71"/>
    <w:rsid w:val="0235156A"/>
    <w:rsid w:val="024A2E98"/>
    <w:rsid w:val="025B3905"/>
    <w:rsid w:val="027617AD"/>
    <w:rsid w:val="03122274"/>
    <w:rsid w:val="033044EF"/>
    <w:rsid w:val="03643EE4"/>
    <w:rsid w:val="036A1D0F"/>
    <w:rsid w:val="03E03714"/>
    <w:rsid w:val="0402774C"/>
    <w:rsid w:val="047C57DF"/>
    <w:rsid w:val="048904B8"/>
    <w:rsid w:val="04977068"/>
    <w:rsid w:val="04BD454A"/>
    <w:rsid w:val="04D847F8"/>
    <w:rsid w:val="04E70E54"/>
    <w:rsid w:val="04F2696D"/>
    <w:rsid w:val="050D1359"/>
    <w:rsid w:val="0582602C"/>
    <w:rsid w:val="05906122"/>
    <w:rsid w:val="05E8550A"/>
    <w:rsid w:val="06022947"/>
    <w:rsid w:val="06196212"/>
    <w:rsid w:val="065816B7"/>
    <w:rsid w:val="06B71C29"/>
    <w:rsid w:val="070B3459"/>
    <w:rsid w:val="073F5829"/>
    <w:rsid w:val="074E1B9D"/>
    <w:rsid w:val="075F7A86"/>
    <w:rsid w:val="07E21E46"/>
    <w:rsid w:val="080D0B59"/>
    <w:rsid w:val="084D4C23"/>
    <w:rsid w:val="089C5FFC"/>
    <w:rsid w:val="08B2496E"/>
    <w:rsid w:val="08C375C0"/>
    <w:rsid w:val="08D2643C"/>
    <w:rsid w:val="090128D9"/>
    <w:rsid w:val="0A0E2202"/>
    <w:rsid w:val="0A1A6F54"/>
    <w:rsid w:val="0A9E45D2"/>
    <w:rsid w:val="0AB82516"/>
    <w:rsid w:val="0AC402AB"/>
    <w:rsid w:val="0AD80A63"/>
    <w:rsid w:val="0AFD0A0F"/>
    <w:rsid w:val="0B3C0FF1"/>
    <w:rsid w:val="0BC468D0"/>
    <w:rsid w:val="0BDA1CE4"/>
    <w:rsid w:val="0C087BC1"/>
    <w:rsid w:val="0C0F71B9"/>
    <w:rsid w:val="0C577051"/>
    <w:rsid w:val="0CDF06C1"/>
    <w:rsid w:val="0CE07B1A"/>
    <w:rsid w:val="0CE91C63"/>
    <w:rsid w:val="0CF66A14"/>
    <w:rsid w:val="0D071A37"/>
    <w:rsid w:val="0D0F082E"/>
    <w:rsid w:val="0D1773AD"/>
    <w:rsid w:val="0D7940DC"/>
    <w:rsid w:val="0D7A4BF4"/>
    <w:rsid w:val="0DA1703A"/>
    <w:rsid w:val="0DAB64FE"/>
    <w:rsid w:val="0E2F59BB"/>
    <w:rsid w:val="0E4455C4"/>
    <w:rsid w:val="0E940A69"/>
    <w:rsid w:val="0E983A9F"/>
    <w:rsid w:val="0F8811C2"/>
    <w:rsid w:val="0F9661FD"/>
    <w:rsid w:val="0FF14C8A"/>
    <w:rsid w:val="10082E50"/>
    <w:rsid w:val="10280398"/>
    <w:rsid w:val="1053048F"/>
    <w:rsid w:val="10832DCF"/>
    <w:rsid w:val="109A1A21"/>
    <w:rsid w:val="10E90449"/>
    <w:rsid w:val="1130749A"/>
    <w:rsid w:val="11392313"/>
    <w:rsid w:val="11931659"/>
    <w:rsid w:val="11F34561"/>
    <w:rsid w:val="12174615"/>
    <w:rsid w:val="125940D7"/>
    <w:rsid w:val="126A1311"/>
    <w:rsid w:val="12A64309"/>
    <w:rsid w:val="12D77AC7"/>
    <w:rsid w:val="12EE0F1F"/>
    <w:rsid w:val="13276EAB"/>
    <w:rsid w:val="138D5AAE"/>
    <w:rsid w:val="13CB18F5"/>
    <w:rsid w:val="141D3EE7"/>
    <w:rsid w:val="1471554B"/>
    <w:rsid w:val="14A96B04"/>
    <w:rsid w:val="15076ECC"/>
    <w:rsid w:val="15284530"/>
    <w:rsid w:val="15374904"/>
    <w:rsid w:val="154D786B"/>
    <w:rsid w:val="157F237A"/>
    <w:rsid w:val="15B7357B"/>
    <w:rsid w:val="15B9027B"/>
    <w:rsid w:val="15C026E8"/>
    <w:rsid w:val="16C251D8"/>
    <w:rsid w:val="16D00820"/>
    <w:rsid w:val="16D60BB4"/>
    <w:rsid w:val="16EF7016"/>
    <w:rsid w:val="17055631"/>
    <w:rsid w:val="17066CA7"/>
    <w:rsid w:val="170716D1"/>
    <w:rsid w:val="174C6F38"/>
    <w:rsid w:val="179D7E81"/>
    <w:rsid w:val="17FE24A8"/>
    <w:rsid w:val="191B04DE"/>
    <w:rsid w:val="19679C75"/>
    <w:rsid w:val="19881DF6"/>
    <w:rsid w:val="19BD3F44"/>
    <w:rsid w:val="19C34620"/>
    <w:rsid w:val="19C96004"/>
    <w:rsid w:val="19D20699"/>
    <w:rsid w:val="19E00BFD"/>
    <w:rsid w:val="19E11FC7"/>
    <w:rsid w:val="1A190CF8"/>
    <w:rsid w:val="1A201645"/>
    <w:rsid w:val="1A3A0B0C"/>
    <w:rsid w:val="1A3A28F6"/>
    <w:rsid w:val="1A4C5548"/>
    <w:rsid w:val="1A644098"/>
    <w:rsid w:val="1A90355B"/>
    <w:rsid w:val="1AB44066"/>
    <w:rsid w:val="1B111DD7"/>
    <w:rsid w:val="1B277DB4"/>
    <w:rsid w:val="1B5E2121"/>
    <w:rsid w:val="1B6B640D"/>
    <w:rsid w:val="1BE26325"/>
    <w:rsid w:val="1BE9267B"/>
    <w:rsid w:val="1C33182B"/>
    <w:rsid w:val="1C93240D"/>
    <w:rsid w:val="1C9C5380"/>
    <w:rsid w:val="1CBE2C1A"/>
    <w:rsid w:val="1CD04D88"/>
    <w:rsid w:val="1CF8212F"/>
    <w:rsid w:val="1D652771"/>
    <w:rsid w:val="1DAE1B03"/>
    <w:rsid w:val="1E1B1CE8"/>
    <w:rsid w:val="1E34339B"/>
    <w:rsid w:val="1E5C0029"/>
    <w:rsid w:val="1E816257"/>
    <w:rsid w:val="1E837D03"/>
    <w:rsid w:val="1E921511"/>
    <w:rsid w:val="1EA1520B"/>
    <w:rsid w:val="1EC12109"/>
    <w:rsid w:val="1EC76855"/>
    <w:rsid w:val="1EDD4B60"/>
    <w:rsid w:val="1EFF7020"/>
    <w:rsid w:val="1F5B3BBE"/>
    <w:rsid w:val="1F844EA5"/>
    <w:rsid w:val="1F941A6B"/>
    <w:rsid w:val="1FA3477D"/>
    <w:rsid w:val="1FBC2B53"/>
    <w:rsid w:val="20CE58A8"/>
    <w:rsid w:val="211B0486"/>
    <w:rsid w:val="215A683B"/>
    <w:rsid w:val="21A10C83"/>
    <w:rsid w:val="21CF6ED7"/>
    <w:rsid w:val="21DD222B"/>
    <w:rsid w:val="22335F8F"/>
    <w:rsid w:val="225B7BC0"/>
    <w:rsid w:val="225B7FB0"/>
    <w:rsid w:val="22A729A4"/>
    <w:rsid w:val="230C0988"/>
    <w:rsid w:val="23744462"/>
    <w:rsid w:val="238F5ECE"/>
    <w:rsid w:val="2395612C"/>
    <w:rsid w:val="24290838"/>
    <w:rsid w:val="243B3BEC"/>
    <w:rsid w:val="24983BFC"/>
    <w:rsid w:val="253D2AA9"/>
    <w:rsid w:val="254E6529"/>
    <w:rsid w:val="25552998"/>
    <w:rsid w:val="255A3C06"/>
    <w:rsid w:val="25711A56"/>
    <w:rsid w:val="25891547"/>
    <w:rsid w:val="25B22C0A"/>
    <w:rsid w:val="25E42781"/>
    <w:rsid w:val="25F0762A"/>
    <w:rsid w:val="260F6016"/>
    <w:rsid w:val="264B1067"/>
    <w:rsid w:val="26752ABD"/>
    <w:rsid w:val="269508D2"/>
    <w:rsid w:val="26A60121"/>
    <w:rsid w:val="26FD011C"/>
    <w:rsid w:val="27837E9D"/>
    <w:rsid w:val="278D4D23"/>
    <w:rsid w:val="27AC5397"/>
    <w:rsid w:val="27C73FE4"/>
    <w:rsid w:val="27D07002"/>
    <w:rsid w:val="28341757"/>
    <w:rsid w:val="285242A4"/>
    <w:rsid w:val="28C53E26"/>
    <w:rsid w:val="28C777A1"/>
    <w:rsid w:val="28DA2864"/>
    <w:rsid w:val="291555F8"/>
    <w:rsid w:val="293921EA"/>
    <w:rsid w:val="29595607"/>
    <w:rsid w:val="296948B7"/>
    <w:rsid w:val="29D27D6E"/>
    <w:rsid w:val="29D84AD0"/>
    <w:rsid w:val="29EF2473"/>
    <w:rsid w:val="2A5427BE"/>
    <w:rsid w:val="2A8330D4"/>
    <w:rsid w:val="2AE76FB7"/>
    <w:rsid w:val="2B1E6C9D"/>
    <w:rsid w:val="2B5D0B9E"/>
    <w:rsid w:val="2B901BE9"/>
    <w:rsid w:val="2BF813FF"/>
    <w:rsid w:val="2C457FD1"/>
    <w:rsid w:val="2CC67CEC"/>
    <w:rsid w:val="2D115865"/>
    <w:rsid w:val="2D813168"/>
    <w:rsid w:val="2DA25367"/>
    <w:rsid w:val="2DE21B53"/>
    <w:rsid w:val="2DFB31D9"/>
    <w:rsid w:val="2DFE1434"/>
    <w:rsid w:val="2E1C0FD4"/>
    <w:rsid w:val="2E607B8F"/>
    <w:rsid w:val="2EB2044D"/>
    <w:rsid w:val="2F032951"/>
    <w:rsid w:val="2F161C48"/>
    <w:rsid w:val="2F1E6ED5"/>
    <w:rsid w:val="2F5059FB"/>
    <w:rsid w:val="2F5F0D39"/>
    <w:rsid w:val="2F777ADA"/>
    <w:rsid w:val="2F7C71A2"/>
    <w:rsid w:val="2F85562F"/>
    <w:rsid w:val="2F940D8E"/>
    <w:rsid w:val="2FD5003B"/>
    <w:rsid w:val="30506F4C"/>
    <w:rsid w:val="3081275F"/>
    <w:rsid w:val="30C84530"/>
    <w:rsid w:val="30D1756D"/>
    <w:rsid w:val="30ED78E0"/>
    <w:rsid w:val="31155550"/>
    <w:rsid w:val="318654EA"/>
    <w:rsid w:val="31963112"/>
    <w:rsid w:val="31B948C7"/>
    <w:rsid w:val="31C37285"/>
    <w:rsid w:val="31D45983"/>
    <w:rsid w:val="31FF5B60"/>
    <w:rsid w:val="321E49AF"/>
    <w:rsid w:val="32245345"/>
    <w:rsid w:val="32246BF0"/>
    <w:rsid w:val="327A0300"/>
    <w:rsid w:val="327F68F1"/>
    <w:rsid w:val="328E3362"/>
    <w:rsid w:val="32F1275E"/>
    <w:rsid w:val="33056764"/>
    <w:rsid w:val="33547F79"/>
    <w:rsid w:val="338D6171"/>
    <w:rsid w:val="34185CA0"/>
    <w:rsid w:val="342C49F3"/>
    <w:rsid w:val="34481952"/>
    <w:rsid w:val="345702CB"/>
    <w:rsid w:val="34895AE7"/>
    <w:rsid w:val="34EB5938"/>
    <w:rsid w:val="35A9111F"/>
    <w:rsid w:val="35AC1423"/>
    <w:rsid w:val="35AD3041"/>
    <w:rsid w:val="35CC7D6E"/>
    <w:rsid w:val="35EE66B4"/>
    <w:rsid w:val="35F22715"/>
    <w:rsid w:val="35F7439D"/>
    <w:rsid w:val="36177B01"/>
    <w:rsid w:val="36596ACE"/>
    <w:rsid w:val="366B1BC3"/>
    <w:rsid w:val="36AC40E9"/>
    <w:rsid w:val="36DC4D5A"/>
    <w:rsid w:val="36E14AAA"/>
    <w:rsid w:val="37147D7A"/>
    <w:rsid w:val="37497A7F"/>
    <w:rsid w:val="375C141A"/>
    <w:rsid w:val="376E7F37"/>
    <w:rsid w:val="3781F73D"/>
    <w:rsid w:val="381B442F"/>
    <w:rsid w:val="381E5D43"/>
    <w:rsid w:val="38B7648C"/>
    <w:rsid w:val="38B83992"/>
    <w:rsid w:val="38DA584B"/>
    <w:rsid w:val="393B49C8"/>
    <w:rsid w:val="393F65DB"/>
    <w:rsid w:val="39C00A05"/>
    <w:rsid w:val="39E61BA3"/>
    <w:rsid w:val="3A6E7F46"/>
    <w:rsid w:val="3AB05549"/>
    <w:rsid w:val="3AD34C24"/>
    <w:rsid w:val="3B1DBD2D"/>
    <w:rsid w:val="3B1E0561"/>
    <w:rsid w:val="3B2F2D6B"/>
    <w:rsid w:val="3B7C1702"/>
    <w:rsid w:val="3B813C17"/>
    <w:rsid w:val="3B845C86"/>
    <w:rsid w:val="3C112031"/>
    <w:rsid w:val="3C123D34"/>
    <w:rsid w:val="3C2C7253"/>
    <w:rsid w:val="3C620CF3"/>
    <w:rsid w:val="3C8F3CE6"/>
    <w:rsid w:val="3D022835"/>
    <w:rsid w:val="3D591272"/>
    <w:rsid w:val="3D6C717E"/>
    <w:rsid w:val="3D7A1EF0"/>
    <w:rsid w:val="3DC85607"/>
    <w:rsid w:val="3DD81DF1"/>
    <w:rsid w:val="3DD86616"/>
    <w:rsid w:val="3E3775C3"/>
    <w:rsid w:val="3E4B7060"/>
    <w:rsid w:val="3E7E04E4"/>
    <w:rsid w:val="3E9F656D"/>
    <w:rsid w:val="3EB200E1"/>
    <w:rsid w:val="3ED81F93"/>
    <w:rsid w:val="3EEF780D"/>
    <w:rsid w:val="3EF9183B"/>
    <w:rsid w:val="3F13196B"/>
    <w:rsid w:val="3F265997"/>
    <w:rsid w:val="3F277249"/>
    <w:rsid w:val="3F8710DB"/>
    <w:rsid w:val="3FA73AD2"/>
    <w:rsid w:val="3FC23945"/>
    <w:rsid w:val="3FD7D1EB"/>
    <w:rsid w:val="3FFF7EC3"/>
    <w:rsid w:val="40267FF1"/>
    <w:rsid w:val="40E266B4"/>
    <w:rsid w:val="41253007"/>
    <w:rsid w:val="41421B2B"/>
    <w:rsid w:val="415E325A"/>
    <w:rsid w:val="41864ABF"/>
    <w:rsid w:val="419251C0"/>
    <w:rsid w:val="41A61036"/>
    <w:rsid w:val="41CF479B"/>
    <w:rsid w:val="41DF4F98"/>
    <w:rsid w:val="41E57F98"/>
    <w:rsid w:val="42166E53"/>
    <w:rsid w:val="422D61BF"/>
    <w:rsid w:val="422E4A98"/>
    <w:rsid w:val="42390F46"/>
    <w:rsid w:val="4272239B"/>
    <w:rsid w:val="42CE6DC4"/>
    <w:rsid w:val="42D40D98"/>
    <w:rsid w:val="43B10CB7"/>
    <w:rsid w:val="43B360DF"/>
    <w:rsid w:val="440B1CCF"/>
    <w:rsid w:val="443613A6"/>
    <w:rsid w:val="443B7DD6"/>
    <w:rsid w:val="44783670"/>
    <w:rsid w:val="4485626D"/>
    <w:rsid w:val="448E383C"/>
    <w:rsid w:val="44B9619F"/>
    <w:rsid w:val="44EC3976"/>
    <w:rsid w:val="45374484"/>
    <w:rsid w:val="454119AB"/>
    <w:rsid w:val="456B061D"/>
    <w:rsid w:val="4575790D"/>
    <w:rsid w:val="45843155"/>
    <w:rsid w:val="45A116CE"/>
    <w:rsid w:val="45E70EB1"/>
    <w:rsid w:val="4633131A"/>
    <w:rsid w:val="464443D0"/>
    <w:rsid w:val="4659192F"/>
    <w:rsid w:val="46A55E70"/>
    <w:rsid w:val="46A8523D"/>
    <w:rsid w:val="46B32054"/>
    <w:rsid w:val="46B53E48"/>
    <w:rsid w:val="46E176F0"/>
    <w:rsid w:val="474F6A8E"/>
    <w:rsid w:val="484A7593"/>
    <w:rsid w:val="485C5DB3"/>
    <w:rsid w:val="486869EF"/>
    <w:rsid w:val="488B1E75"/>
    <w:rsid w:val="48A44C71"/>
    <w:rsid w:val="491E0A71"/>
    <w:rsid w:val="49894D52"/>
    <w:rsid w:val="49DE1ADA"/>
    <w:rsid w:val="4A5013A9"/>
    <w:rsid w:val="4A811A05"/>
    <w:rsid w:val="4A9E1A00"/>
    <w:rsid w:val="4B244793"/>
    <w:rsid w:val="4B3147DE"/>
    <w:rsid w:val="4B5A0C77"/>
    <w:rsid w:val="4C1604C5"/>
    <w:rsid w:val="4C1E14A1"/>
    <w:rsid w:val="4C203AD9"/>
    <w:rsid w:val="4C2B3C77"/>
    <w:rsid w:val="4C667976"/>
    <w:rsid w:val="4C6B53EF"/>
    <w:rsid w:val="4C6C5645"/>
    <w:rsid w:val="4CC906E3"/>
    <w:rsid w:val="4CDE19B4"/>
    <w:rsid w:val="4CFF61EE"/>
    <w:rsid w:val="4D3673D0"/>
    <w:rsid w:val="4D3D51FD"/>
    <w:rsid w:val="4D7040E2"/>
    <w:rsid w:val="4DBF2AD2"/>
    <w:rsid w:val="4DEF3E8C"/>
    <w:rsid w:val="4DF078E7"/>
    <w:rsid w:val="4E354A25"/>
    <w:rsid w:val="4E70362B"/>
    <w:rsid w:val="4E741000"/>
    <w:rsid w:val="4E7B7253"/>
    <w:rsid w:val="4E80166B"/>
    <w:rsid w:val="4EB5460C"/>
    <w:rsid w:val="4EB9496B"/>
    <w:rsid w:val="4F453562"/>
    <w:rsid w:val="4F477B35"/>
    <w:rsid w:val="4F4814AC"/>
    <w:rsid w:val="4F7F117B"/>
    <w:rsid w:val="4F833CF5"/>
    <w:rsid w:val="4FDE2038"/>
    <w:rsid w:val="4FDE35EB"/>
    <w:rsid w:val="50527608"/>
    <w:rsid w:val="506B50B3"/>
    <w:rsid w:val="507D3EED"/>
    <w:rsid w:val="509E7837"/>
    <w:rsid w:val="50E4731C"/>
    <w:rsid w:val="50F1492C"/>
    <w:rsid w:val="512F55BC"/>
    <w:rsid w:val="51375EDD"/>
    <w:rsid w:val="51832D80"/>
    <w:rsid w:val="51BC3C19"/>
    <w:rsid w:val="51D468DE"/>
    <w:rsid w:val="522474A7"/>
    <w:rsid w:val="524645B1"/>
    <w:rsid w:val="525C5C99"/>
    <w:rsid w:val="525C5F03"/>
    <w:rsid w:val="527D083C"/>
    <w:rsid w:val="527D3609"/>
    <w:rsid w:val="53162AC7"/>
    <w:rsid w:val="5341100D"/>
    <w:rsid w:val="536B2DBB"/>
    <w:rsid w:val="53777B6E"/>
    <w:rsid w:val="53995C48"/>
    <w:rsid w:val="53BD16E6"/>
    <w:rsid w:val="53EE0B3F"/>
    <w:rsid w:val="53FF5EA8"/>
    <w:rsid w:val="544A145A"/>
    <w:rsid w:val="54515F0F"/>
    <w:rsid w:val="546535C2"/>
    <w:rsid w:val="547A2496"/>
    <w:rsid w:val="5481002F"/>
    <w:rsid w:val="54B22C4B"/>
    <w:rsid w:val="54CF7CE9"/>
    <w:rsid w:val="54DB28DF"/>
    <w:rsid w:val="54E7068C"/>
    <w:rsid w:val="54F870E5"/>
    <w:rsid w:val="551714B6"/>
    <w:rsid w:val="55770E85"/>
    <w:rsid w:val="55F26B3D"/>
    <w:rsid w:val="55F3686E"/>
    <w:rsid w:val="561F40D7"/>
    <w:rsid w:val="564700EC"/>
    <w:rsid w:val="566D7113"/>
    <w:rsid w:val="571738A2"/>
    <w:rsid w:val="57230AFA"/>
    <w:rsid w:val="57394458"/>
    <w:rsid w:val="575B1B12"/>
    <w:rsid w:val="57724CAD"/>
    <w:rsid w:val="577525D1"/>
    <w:rsid w:val="57ED23BD"/>
    <w:rsid w:val="582C0033"/>
    <w:rsid w:val="58343454"/>
    <w:rsid w:val="584A2BE6"/>
    <w:rsid w:val="58742C08"/>
    <w:rsid w:val="5876C65C"/>
    <w:rsid w:val="5890013E"/>
    <w:rsid w:val="59335721"/>
    <w:rsid w:val="59424496"/>
    <w:rsid w:val="599273A0"/>
    <w:rsid w:val="59B91F6F"/>
    <w:rsid w:val="59BD27EC"/>
    <w:rsid w:val="5A294918"/>
    <w:rsid w:val="5ACF412E"/>
    <w:rsid w:val="5AD12E5F"/>
    <w:rsid w:val="5AD21625"/>
    <w:rsid w:val="5AF70F12"/>
    <w:rsid w:val="5B64286A"/>
    <w:rsid w:val="5B812EC6"/>
    <w:rsid w:val="5BA011A2"/>
    <w:rsid w:val="5BAF2A19"/>
    <w:rsid w:val="5BFC7D93"/>
    <w:rsid w:val="5C275126"/>
    <w:rsid w:val="5CA17C1D"/>
    <w:rsid w:val="5CAB1C5E"/>
    <w:rsid w:val="5CB426A5"/>
    <w:rsid w:val="5CD96D00"/>
    <w:rsid w:val="5D0352D5"/>
    <w:rsid w:val="5D18469C"/>
    <w:rsid w:val="5D4958F4"/>
    <w:rsid w:val="5D742971"/>
    <w:rsid w:val="5D863E1C"/>
    <w:rsid w:val="5D897985"/>
    <w:rsid w:val="5DEE49BC"/>
    <w:rsid w:val="5DF069B8"/>
    <w:rsid w:val="5DFA250C"/>
    <w:rsid w:val="5E0854F6"/>
    <w:rsid w:val="5E206CD4"/>
    <w:rsid w:val="5E620E7C"/>
    <w:rsid w:val="5EC80228"/>
    <w:rsid w:val="5F095C24"/>
    <w:rsid w:val="5F0D46CC"/>
    <w:rsid w:val="5F16CC64"/>
    <w:rsid w:val="5F17211A"/>
    <w:rsid w:val="5F334A35"/>
    <w:rsid w:val="5F404102"/>
    <w:rsid w:val="5F52344A"/>
    <w:rsid w:val="5F74373C"/>
    <w:rsid w:val="5F7FAB9C"/>
    <w:rsid w:val="5FED974F"/>
    <w:rsid w:val="5FFF1A79"/>
    <w:rsid w:val="60384448"/>
    <w:rsid w:val="604144B7"/>
    <w:rsid w:val="605500F5"/>
    <w:rsid w:val="60821019"/>
    <w:rsid w:val="612B23E1"/>
    <w:rsid w:val="6134070E"/>
    <w:rsid w:val="61956C9D"/>
    <w:rsid w:val="61996D0D"/>
    <w:rsid w:val="61CA6BC8"/>
    <w:rsid w:val="621F38F6"/>
    <w:rsid w:val="6237371C"/>
    <w:rsid w:val="625D0DFE"/>
    <w:rsid w:val="629D798E"/>
    <w:rsid w:val="62D721BB"/>
    <w:rsid w:val="62D74A39"/>
    <w:rsid w:val="6311094F"/>
    <w:rsid w:val="635348BD"/>
    <w:rsid w:val="63E945FF"/>
    <w:rsid w:val="63F975CF"/>
    <w:rsid w:val="64676D4D"/>
    <w:rsid w:val="64696B0E"/>
    <w:rsid w:val="64991B12"/>
    <w:rsid w:val="64CD7999"/>
    <w:rsid w:val="652D0719"/>
    <w:rsid w:val="65372834"/>
    <w:rsid w:val="660446CE"/>
    <w:rsid w:val="66337E77"/>
    <w:rsid w:val="664D2761"/>
    <w:rsid w:val="664F1597"/>
    <w:rsid w:val="66690EA6"/>
    <w:rsid w:val="666A44DB"/>
    <w:rsid w:val="66815984"/>
    <w:rsid w:val="66984BE8"/>
    <w:rsid w:val="66E0502B"/>
    <w:rsid w:val="66F2257D"/>
    <w:rsid w:val="674F7CD0"/>
    <w:rsid w:val="676C6CBB"/>
    <w:rsid w:val="67A27890"/>
    <w:rsid w:val="67A932C1"/>
    <w:rsid w:val="67AB4ED9"/>
    <w:rsid w:val="681A098D"/>
    <w:rsid w:val="68797882"/>
    <w:rsid w:val="68911653"/>
    <w:rsid w:val="689E5549"/>
    <w:rsid w:val="68AC52BD"/>
    <w:rsid w:val="68B676A5"/>
    <w:rsid w:val="68B82A2C"/>
    <w:rsid w:val="68CE50A5"/>
    <w:rsid w:val="68EF261B"/>
    <w:rsid w:val="68FA6CB7"/>
    <w:rsid w:val="6983791A"/>
    <w:rsid w:val="6990049D"/>
    <w:rsid w:val="699544C1"/>
    <w:rsid w:val="69C66179"/>
    <w:rsid w:val="69CD12C3"/>
    <w:rsid w:val="6AC9688F"/>
    <w:rsid w:val="6ADE7F0A"/>
    <w:rsid w:val="6AFB4C9C"/>
    <w:rsid w:val="6B366FCE"/>
    <w:rsid w:val="6B3F101A"/>
    <w:rsid w:val="6B53001D"/>
    <w:rsid w:val="6B6376F2"/>
    <w:rsid w:val="6B824F3B"/>
    <w:rsid w:val="6B8866E4"/>
    <w:rsid w:val="6BEB38BA"/>
    <w:rsid w:val="6C0B5D0B"/>
    <w:rsid w:val="6C182765"/>
    <w:rsid w:val="6C1D06A6"/>
    <w:rsid w:val="6C2A61E8"/>
    <w:rsid w:val="6CDD7A69"/>
    <w:rsid w:val="6D0B408B"/>
    <w:rsid w:val="6D2741FA"/>
    <w:rsid w:val="6D5F79FA"/>
    <w:rsid w:val="6D8B4370"/>
    <w:rsid w:val="6DB869F2"/>
    <w:rsid w:val="6DC4356D"/>
    <w:rsid w:val="6E1C074E"/>
    <w:rsid w:val="6E281DDF"/>
    <w:rsid w:val="6E3C5F45"/>
    <w:rsid w:val="6E8A792E"/>
    <w:rsid w:val="6EAB00A2"/>
    <w:rsid w:val="6FC75832"/>
    <w:rsid w:val="70183D69"/>
    <w:rsid w:val="706A1A11"/>
    <w:rsid w:val="70811D27"/>
    <w:rsid w:val="708F48A3"/>
    <w:rsid w:val="70B51698"/>
    <w:rsid w:val="70BE14EF"/>
    <w:rsid w:val="70CF66D3"/>
    <w:rsid w:val="711152F5"/>
    <w:rsid w:val="712C5185"/>
    <w:rsid w:val="715B21B7"/>
    <w:rsid w:val="71712AAB"/>
    <w:rsid w:val="71A5341D"/>
    <w:rsid w:val="72381C78"/>
    <w:rsid w:val="7250565C"/>
    <w:rsid w:val="725058CE"/>
    <w:rsid w:val="7257308D"/>
    <w:rsid w:val="725A0743"/>
    <w:rsid w:val="72660F88"/>
    <w:rsid w:val="72716995"/>
    <w:rsid w:val="727C5C11"/>
    <w:rsid w:val="72846F12"/>
    <w:rsid w:val="729836A7"/>
    <w:rsid w:val="72C66727"/>
    <w:rsid w:val="72D11228"/>
    <w:rsid w:val="72D9602A"/>
    <w:rsid w:val="72ED6681"/>
    <w:rsid w:val="72F76E91"/>
    <w:rsid w:val="730955F4"/>
    <w:rsid w:val="734D74AE"/>
    <w:rsid w:val="73A55EF0"/>
    <w:rsid w:val="74431CB9"/>
    <w:rsid w:val="744E3F9D"/>
    <w:rsid w:val="746419D8"/>
    <w:rsid w:val="74812642"/>
    <w:rsid w:val="74857278"/>
    <w:rsid w:val="74B8523B"/>
    <w:rsid w:val="74BA7AC6"/>
    <w:rsid w:val="74E748BC"/>
    <w:rsid w:val="75187934"/>
    <w:rsid w:val="751F3D1A"/>
    <w:rsid w:val="754458FB"/>
    <w:rsid w:val="757564F8"/>
    <w:rsid w:val="75850829"/>
    <w:rsid w:val="760658CB"/>
    <w:rsid w:val="760D06E9"/>
    <w:rsid w:val="7615030A"/>
    <w:rsid w:val="767E4418"/>
    <w:rsid w:val="769B6442"/>
    <w:rsid w:val="76ED7AF6"/>
    <w:rsid w:val="7750441F"/>
    <w:rsid w:val="77BD5DFC"/>
    <w:rsid w:val="77E7EA15"/>
    <w:rsid w:val="77FEA056"/>
    <w:rsid w:val="780E36AF"/>
    <w:rsid w:val="783C64B1"/>
    <w:rsid w:val="784028B7"/>
    <w:rsid w:val="7865666B"/>
    <w:rsid w:val="789C312B"/>
    <w:rsid w:val="78C503B1"/>
    <w:rsid w:val="78DD720A"/>
    <w:rsid w:val="78F338BA"/>
    <w:rsid w:val="796053A7"/>
    <w:rsid w:val="79B073A7"/>
    <w:rsid w:val="79B257A0"/>
    <w:rsid w:val="79B67B2B"/>
    <w:rsid w:val="79B71E16"/>
    <w:rsid w:val="7A194443"/>
    <w:rsid w:val="7A6F7F96"/>
    <w:rsid w:val="7A783E31"/>
    <w:rsid w:val="7A9038FD"/>
    <w:rsid w:val="7AA316E6"/>
    <w:rsid w:val="7AAF100A"/>
    <w:rsid w:val="7ADF2A3A"/>
    <w:rsid w:val="7B09368B"/>
    <w:rsid w:val="7B1C649B"/>
    <w:rsid w:val="7B1F5E5D"/>
    <w:rsid w:val="7B236390"/>
    <w:rsid w:val="7B282B93"/>
    <w:rsid w:val="7B4C2FC7"/>
    <w:rsid w:val="7B567270"/>
    <w:rsid w:val="7B5D1284"/>
    <w:rsid w:val="7B5E51DB"/>
    <w:rsid w:val="7B666C8C"/>
    <w:rsid w:val="7B706306"/>
    <w:rsid w:val="7BC912C4"/>
    <w:rsid w:val="7C126E82"/>
    <w:rsid w:val="7C986B31"/>
    <w:rsid w:val="7CA21B3B"/>
    <w:rsid w:val="7CB23C83"/>
    <w:rsid w:val="7CD9C649"/>
    <w:rsid w:val="7CE84F5D"/>
    <w:rsid w:val="7D0E4D07"/>
    <w:rsid w:val="7D156227"/>
    <w:rsid w:val="7D4A7945"/>
    <w:rsid w:val="7D5A67E2"/>
    <w:rsid w:val="7D8B1F6B"/>
    <w:rsid w:val="7D9B594F"/>
    <w:rsid w:val="7DFE68F7"/>
    <w:rsid w:val="7E003800"/>
    <w:rsid w:val="7E0F5183"/>
    <w:rsid w:val="7E287E8D"/>
    <w:rsid w:val="7E3645A6"/>
    <w:rsid w:val="7E470A3D"/>
    <w:rsid w:val="7E637879"/>
    <w:rsid w:val="7E78477A"/>
    <w:rsid w:val="7E910C08"/>
    <w:rsid w:val="7EE17871"/>
    <w:rsid w:val="7EE50038"/>
    <w:rsid w:val="7F0551BD"/>
    <w:rsid w:val="7F177D95"/>
    <w:rsid w:val="7F734688"/>
    <w:rsid w:val="7F7FADB1"/>
    <w:rsid w:val="7F8B5E89"/>
    <w:rsid w:val="7FF50001"/>
    <w:rsid w:val="838D622A"/>
    <w:rsid w:val="8FE10547"/>
    <w:rsid w:val="9FDF019D"/>
    <w:rsid w:val="AEBFDE9C"/>
    <w:rsid w:val="AFBEC7B7"/>
    <w:rsid w:val="BEBB69FE"/>
    <w:rsid w:val="BEF757E4"/>
    <w:rsid w:val="BEFF75F6"/>
    <w:rsid w:val="BFE28FD8"/>
    <w:rsid w:val="CFD6C78C"/>
    <w:rsid w:val="DC6D612D"/>
    <w:rsid w:val="DEFEC1A2"/>
    <w:rsid w:val="DF5B0BBF"/>
    <w:rsid w:val="E7FF45E4"/>
    <w:rsid w:val="F1D58C00"/>
    <w:rsid w:val="F2FF09EF"/>
    <w:rsid w:val="F77326E3"/>
    <w:rsid w:val="FB7F3B74"/>
    <w:rsid w:val="FBB3D6BB"/>
    <w:rsid w:val="FBEFC055"/>
    <w:rsid w:val="FCAFA831"/>
    <w:rsid w:val="FDF962D1"/>
    <w:rsid w:val="FF6B749F"/>
    <w:rsid w:val="FFEE8535"/>
    <w:rsid w:val="FFEF853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rPr>
      <w:rFonts w:eastAsia="仿宋_GB2312"/>
      <w:sz w:val="32"/>
    </w:rPr>
  </w:style>
  <w:style w:type="paragraph" w:styleId="3">
    <w:name w:val="footer"/>
    <w:basedOn w:val="1"/>
    <w:link w:val="13"/>
    <w:unhideWhenUsed/>
    <w:qFormat/>
    <w:uiPriority w:val="99"/>
    <w:pPr>
      <w:tabs>
        <w:tab w:val="center" w:pos="4153"/>
        <w:tab w:val="right" w:pos="8306"/>
      </w:tabs>
      <w:snapToGrid w:val="0"/>
      <w:jc w:val="left"/>
    </w:pPr>
    <w:rPr>
      <w:sz w:val="18"/>
      <w:szCs w:val="18"/>
    </w:rPr>
  </w:style>
  <w:style w:type="paragraph" w:styleId="4">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pPr>
      <w:spacing w:beforeAutospacing="1" w:afterAutospacing="1"/>
      <w:jc w:val="left"/>
    </w:pPr>
    <w:rPr>
      <w:rFonts w:cs="Times New Roman"/>
      <w:kern w:val="0"/>
      <w:sz w:val="24"/>
    </w:r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Strong"/>
    <w:basedOn w:val="8"/>
    <w:qFormat/>
    <w:uiPriority w:val="22"/>
    <w:rPr>
      <w:b/>
    </w:rPr>
  </w:style>
  <w:style w:type="character" w:styleId="10">
    <w:name w:val="Hyperlink"/>
    <w:basedOn w:val="8"/>
    <w:semiHidden/>
    <w:unhideWhenUsed/>
    <w:qFormat/>
    <w:uiPriority w:val="99"/>
    <w:rPr>
      <w:color w:val="0000FF"/>
      <w:u w:val="single"/>
    </w:rPr>
  </w:style>
  <w:style w:type="paragraph" w:customStyle="1" w:styleId="11">
    <w:name w:val="Char"/>
    <w:basedOn w:val="1"/>
    <w:unhideWhenUsed/>
    <w:qFormat/>
    <w:uiPriority w:val="99"/>
    <w:pPr>
      <w:widowControl/>
      <w:spacing w:line="240" w:lineRule="exact"/>
      <w:jc w:val="left"/>
    </w:pPr>
  </w:style>
  <w:style w:type="character" w:customStyle="1" w:styleId="12">
    <w:name w:val="页眉 Char"/>
    <w:basedOn w:val="8"/>
    <w:link w:val="4"/>
    <w:qFormat/>
    <w:uiPriority w:val="99"/>
    <w:rPr>
      <w:sz w:val="18"/>
      <w:szCs w:val="18"/>
    </w:rPr>
  </w:style>
  <w:style w:type="character" w:customStyle="1" w:styleId="13">
    <w:name w:val="页脚 Char"/>
    <w:basedOn w:val="8"/>
    <w:link w:val="3"/>
    <w:qFormat/>
    <w:uiPriority w:val="99"/>
    <w:rPr>
      <w:sz w:val="18"/>
      <w:szCs w:val="18"/>
    </w:rPr>
  </w:style>
  <w:style w:type="paragraph" w:styleId="14">
    <w:name w:val="List Paragraph"/>
    <w:basedOn w:val="1"/>
    <w:qFormat/>
    <w:uiPriority w:val="34"/>
    <w:pPr>
      <w:ind w:firstLine="420" w:firstLineChars="200"/>
    </w:pPr>
  </w:style>
  <w:style w:type="paragraph" w:customStyle="1" w:styleId="15">
    <w:name w:val="Default"/>
    <w:unhideWhenUsed/>
    <w:qFormat/>
    <w:uiPriority w:val="99"/>
    <w:pPr>
      <w:widowControl w:val="0"/>
      <w:autoSpaceDE w:val="0"/>
      <w:autoSpaceDN w:val="0"/>
      <w:adjustRightInd w:val="0"/>
    </w:pPr>
    <w:rPr>
      <w:rFonts w:hint="eastAsia" w:ascii="方正仿宋简体" w:hAnsi="方正仿宋简体" w:eastAsia="方正仿宋简体" w:cs="Times New Roman"/>
      <w:color w:val="000000"/>
      <w:sz w:val="24"/>
      <w:szCs w:val="22"/>
      <w:lang w:val="en-US" w:eastAsia="zh-CN" w:bidi="ar-SA"/>
    </w:rPr>
  </w:style>
  <w:style w:type="paragraph" w:customStyle="1" w:styleId="16">
    <w:name w:val="正文1"/>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customStyle="1" w:styleId="17">
    <w:name w:val="font11"/>
    <w:basedOn w:val="8"/>
    <w:qFormat/>
    <w:uiPriority w:val="0"/>
    <w:rPr>
      <w:rFonts w:hint="eastAsia" w:ascii="仿宋_GB2312" w:eastAsia="仿宋_GB2312" w:cs="仿宋_GB2312"/>
      <w:color w:val="000000"/>
      <w:sz w:val="24"/>
      <w:szCs w:val="24"/>
      <w:u w:val="none"/>
    </w:rPr>
  </w:style>
  <w:style w:type="character" w:customStyle="1" w:styleId="18">
    <w:name w:val="font01"/>
    <w:basedOn w:val="8"/>
    <w:qFormat/>
    <w:uiPriority w:val="0"/>
    <w:rPr>
      <w:rFonts w:hint="eastAsia" w:ascii="仿宋_GB2312" w:eastAsia="仿宋_GB2312" w:cs="仿宋_GB2312"/>
      <w:b/>
      <w:color w:val="FF0000"/>
      <w:sz w:val="24"/>
      <w:szCs w:val="24"/>
      <w:u w:val="none"/>
    </w:rPr>
  </w:style>
  <w:style w:type="character" w:customStyle="1" w:styleId="19">
    <w:name w:val="font51"/>
    <w:basedOn w:val="8"/>
    <w:qFormat/>
    <w:uiPriority w:val="0"/>
    <w:rPr>
      <w:rFonts w:hint="eastAsia" w:ascii="仿宋_GB2312" w:eastAsia="仿宋_GB2312" w:cs="仿宋_GB2312"/>
      <w:color w:val="000000"/>
      <w:sz w:val="24"/>
      <w:szCs w:val="24"/>
      <w:u w:val="none"/>
    </w:rPr>
  </w:style>
  <w:style w:type="character" w:customStyle="1" w:styleId="20">
    <w:name w:val="font41"/>
    <w:basedOn w:val="8"/>
    <w:qFormat/>
    <w:uiPriority w:val="0"/>
    <w:rPr>
      <w:rFonts w:hint="default" w:ascii="Times New Roman" w:hAnsi="Times New Roman" w:cs="Times New Roman"/>
      <w:color w:val="000000"/>
      <w:sz w:val="24"/>
      <w:szCs w:val="24"/>
      <w:u w:val="non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17</Pages>
  <Words>987</Words>
  <Characters>5629</Characters>
  <Lines>46</Lines>
  <Paragraphs>13</Paragraphs>
  <TotalTime>317</TotalTime>
  <ScaleCrop>false</ScaleCrop>
  <LinksUpToDate>false</LinksUpToDate>
  <CharactersWithSpaces>6603</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2021-09-05T11:54:00Z</dcterms:created>
  <dc:creator>郑欢</dc:creator>
  <cp:lastModifiedBy>暖暖的奇迹</cp:lastModifiedBy>
  <cp:lastPrinted>2021-09-06T02:56:00Z</cp:lastPrinted>
  <dcterms:modified xsi:type="dcterms:W3CDTF">2021-09-07T01:56:28Z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37987EBD145B46C195E9CB7423DEB670</vt:lpwstr>
  </property>
  <property fmtid="{D5CDD505-2E9C-101B-9397-08002B2CF9AE}" pid="4" name="KSOSaveFontToCloudKey">
    <vt:lpwstr>243377329_embed</vt:lpwstr>
  </property>
</Properties>
</file>