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color w:val="auto"/>
          <w:sz w:val="32"/>
          <w:szCs w:val="32"/>
        </w:rPr>
      </w:pPr>
      <w:bookmarkStart w:id="0" w:name="_GoBack"/>
      <w:bookmarkEnd w:id="0"/>
      <w:r>
        <w:rPr>
          <w:rFonts w:hint="default" w:ascii="Times New Roman" w:hAnsi="Times New Roman" w:eastAsia="黑体" w:cs="Times New Roman"/>
          <w:color w:val="auto"/>
          <w:sz w:val="32"/>
          <w:szCs w:val="32"/>
        </w:rPr>
        <w:t>附件2</w:t>
      </w:r>
    </w:p>
    <w:p>
      <w:pPr>
        <w:keepNext w:val="0"/>
        <w:keepLines w:val="0"/>
        <w:pageBreakBefore w:val="0"/>
        <w:widowControl w:val="0"/>
        <w:kinsoku/>
        <w:wordWrap/>
        <w:overflowPunct/>
        <w:topLinePunct w:val="0"/>
        <w:autoSpaceDE/>
        <w:autoSpaceDN/>
        <w:bidi w:val="0"/>
        <w:adjustRightInd/>
        <w:snapToGrid/>
        <w:spacing w:before="157" w:beforeLines="50" w:after="157" w:afterLines="50" w:line="592" w:lineRule="exact"/>
        <w:jc w:val="center"/>
        <w:textAlignment w:val="auto"/>
        <w:rPr>
          <w:rFonts w:ascii="方正小标宋_GBK" w:eastAsia="方正小标宋_GBK"/>
          <w:color w:val="auto"/>
          <w:sz w:val="44"/>
          <w:szCs w:val="44"/>
          <w:shd w:val="clear" w:color="auto" w:fill="FFFFFF"/>
        </w:rPr>
      </w:pPr>
      <w:r>
        <w:rPr>
          <w:rFonts w:ascii="方正小标宋_GBK" w:eastAsia="方正小标宋_GBK"/>
          <w:color w:val="auto"/>
          <w:sz w:val="44"/>
          <w:szCs w:val="44"/>
          <w:shd w:val="clear" w:color="auto" w:fill="FFFFFF"/>
        </w:rPr>
        <w:t>湖南省新增</w:t>
      </w:r>
      <w:r>
        <w:rPr>
          <w:rFonts w:hint="eastAsia" w:ascii="方正小标宋_GBK" w:eastAsia="方正小标宋_GBK"/>
          <w:color w:val="auto"/>
          <w:sz w:val="44"/>
          <w:szCs w:val="44"/>
          <w:shd w:val="clear" w:color="auto" w:fill="FFFFFF"/>
        </w:rPr>
        <w:t>特需</w:t>
      </w:r>
      <w:r>
        <w:rPr>
          <w:rFonts w:ascii="方正小标宋_GBK" w:eastAsia="方正小标宋_GBK"/>
          <w:color w:val="auto"/>
          <w:sz w:val="44"/>
          <w:szCs w:val="44"/>
          <w:shd w:val="clear" w:color="auto" w:fill="FFFFFF"/>
        </w:rPr>
        <w:t>中医医疗服务试点项目</w:t>
      </w:r>
    </w:p>
    <w:tbl>
      <w:tblPr>
        <w:tblStyle w:val="5"/>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436"/>
        <w:gridCol w:w="1489"/>
        <w:gridCol w:w="3539"/>
        <w:gridCol w:w="2176"/>
        <w:gridCol w:w="1109"/>
        <w:gridCol w:w="1352"/>
        <w:gridCol w:w="835"/>
        <w:gridCol w:w="697"/>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序号</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项目编码</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项目名称</w:t>
            </w:r>
          </w:p>
        </w:tc>
        <w:tc>
          <w:tcPr>
            <w:tcW w:w="126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服务产出</w:t>
            </w:r>
          </w:p>
        </w:tc>
        <w:tc>
          <w:tcPr>
            <w:tcW w:w="77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价格构成</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加收项</w:t>
            </w: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扩展项</w:t>
            </w:r>
          </w:p>
        </w:tc>
        <w:tc>
          <w:tcPr>
            <w:tcW w:w="297"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最高指导价</w:t>
            </w:r>
          </w:p>
        </w:tc>
        <w:tc>
          <w:tcPr>
            <w:tcW w:w="248"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计价单位</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b/>
                <w:bCs/>
                <w:color w:val="auto"/>
                <w:kern w:val="0"/>
                <w:sz w:val="20"/>
                <w:szCs w:val="20"/>
              </w:rPr>
            </w:pPr>
            <w:r>
              <w:rPr>
                <w:rFonts w:hint="eastAsia" w:ascii="方正书宋简体" w:hAnsi="方正书宋简体" w:eastAsia="方正书宋简体" w:cs="方正书宋简体"/>
                <w:b/>
                <w:bCs/>
                <w:color w:val="auto"/>
                <w:kern w:val="0"/>
                <w:sz w:val="20"/>
                <w:szCs w:val="20"/>
              </w:rPr>
              <w:t>计价说明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1</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T450000018</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小儿推拿疗法</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在中医基础理论和相关临床指导下，以脏腑学说、经络学说</w:t>
            </w:r>
            <w:r>
              <w:rPr>
                <w:rFonts w:hint="eastAsia" w:ascii="方正书宋简体" w:hAnsi="方正书宋简体" w:eastAsia="方正书宋简体" w:cs="方正书宋简体"/>
                <w:color w:val="auto"/>
                <w:kern w:val="0"/>
                <w:sz w:val="20"/>
                <w:szCs w:val="20"/>
                <w:lang w:eastAsia="zh-CN"/>
              </w:rPr>
              <w:t>以及</w:t>
            </w:r>
            <w:r>
              <w:rPr>
                <w:rFonts w:hint="eastAsia" w:ascii="方正书宋简体" w:hAnsi="方正书宋简体" w:eastAsia="方正书宋简体" w:cs="方正书宋简体"/>
                <w:color w:val="auto"/>
                <w:kern w:val="0"/>
                <w:sz w:val="20"/>
                <w:szCs w:val="20"/>
              </w:rPr>
              <w:t>小儿的生理病理特点为基础，以整体观念和辨证诊治为特征，运用适用于儿童的特殊推拿手法对体表特定部位进行刺激，达到平衡阴阳、调节脏腑目的。</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所定价格涵盖推拿步骤的人力资源和物质资源消耗。</w:t>
            </w:r>
          </w:p>
        </w:tc>
        <w:tc>
          <w:tcPr>
            <w:tcW w:w="39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120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12周岁及以下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8"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2</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T470000017</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风湿与疼痛三联序贯疗法</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spacing w:val="-4"/>
                <w:kern w:val="0"/>
                <w:sz w:val="20"/>
                <w:szCs w:val="20"/>
              </w:rPr>
            </w:pPr>
            <w:r>
              <w:rPr>
                <w:rFonts w:hint="eastAsia" w:ascii="方正书宋简体" w:hAnsi="方正书宋简体" w:eastAsia="方正书宋简体" w:cs="方正书宋简体"/>
                <w:color w:val="auto"/>
                <w:spacing w:val="-4"/>
                <w:kern w:val="0"/>
                <w:sz w:val="20"/>
                <w:szCs w:val="20"/>
              </w:rPr>
              <w:t>本项目是针对风湿与疼痛疾病，</w:t>
            </w:r>
            <w:r>
              <w:rPr>
                <w:rFonts w:hint="eastAsia" w:ascii="方正书宋简体" w:hAnsi="方正书宋简体" w:eastAsia="方正书宋简体" w:cs="方正书宋简体"/>
                <w:color w:val="auto"/>
                <w:spacing w:val="-4"/>
                <w:kern w:val="0"/>
                <w:sz w:val="20"/>
                <w:szCs w:val="20"/>
                <w:lang w:eastAsia="zh-CN"/>
              </w:rPr>
              <w:t>辨证施治</w:t>
            </w:r>
            <w:r>
              <w:rPr>
                <w:rFonts w:hint="eastAsia" w:ascii="方正书宋简体" w:hAnsi="方正书宋简体" w:eastAsia="方正书宋简体" w:cs="方正书宋简体"/>
                <w:color w:val="auto"/>
                <w:spacing w:val="-4"/>
                <w:kern w:val="0"/>
                <w:sz w:val="20"/>
                <w:szCs w:val="20"/>
              </w:rPr>
              <w:t>，在局部或全身相关经筋病灶进行选择性特种针法治疗与透皮给药及物理治疗，通过经筋特种针法治疗解决深层经筋“拘急挛缩”等问题，通过独特的透皮给药技术将药物输送到浅层经筋膜原解决浅层病灶，强调准确的诊断与精确的给药，同时通过仪器在病灶部位实施热磁、按摩、针灸等物理治疗加强疗效。</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spacing w:val="-4"/>
                <w:kern w:val="0"/>
                <w:sz w:val="20"/>
                <w:szCs w:val="20"/>
              </w:rPr>
            </w:pPr>
            <w:r>
              <w:rPr>
                <w:rFonts w:hint="eastAsia" w:ascii="方正书宋简体" w:hAnsi="方正书宋简体" w:eastAsia="方正书宋简体" w:cs="方正书宋简体"/>
                <w:color w:val="auto"/>
                <w:kern w:val="0"/>
                <w:sz w:val="20"/>
                <w:szCs w:val="20"/>
              </w:rPr>
              <w:t>所定价格涵盖辨证施治、针法治疗、透皮给药、物理治疗等步骤的人力资源和物质资源消耗。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200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8"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3</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T440000012</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火龙罐疗法</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火龙罐是是集“推拿、刮痧、艾灸”于一体的中医特色护理技术，它是指在皮肤上涂上药物精油或中药膏剂，导入皮下进入人体体循环，运用特有的火龙罐具，结合推拿、刮痧、艾灸综合治疗手段，以治疗疾病的一种中医操作技术。</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所定价格涵盖药膏涂擦、运用火龙罐具推拿、刮痧、艾灸等步骤的人力资源和物质资源消耗。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260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4</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T120600005</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混合痔专科</w:t>
            </w:r>
          </w:p>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换药</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混合痔专科换药，包含切口创面的冲洗、创面坏死组织和渗出物等的清理、创面不良肉芽组织的修剪、创缘水肿的清创、肛内纳药、特制带药纱条药线或敷料的创面敷药等。</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所定价格涵盖切口创面冲洗、清理、修剪、清创、引流等专科换药步骤的人力资源和物质资源消耗（含药物）。</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6周岁及以下儿童加收30%</w:t>
            </w: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35</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5</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T120600006-1</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高位肛瘘专科换药</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高位肛瘘专科换药，包含切口创面的冲洗、创面坏死组织和渗出物等的清理、创面不良肉芽组织的修剪、创缘水肿或假性愈合的清创、特制带药纱条药线或敷料的创面敷药引流等。</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所定价格涵盖切口创面冲洗、清理、修剪、清创、引流等专科换药步骤的人力资源和物质资源消耗（含药物）。</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6周岁及以下儿童加收30%</w:t>
            </w: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65</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T120600006-2</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低位单纯肛瘘专科换药</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低位肛瘘专科换药，包含切口创面的冲洗、创面坏死组织和渗出物等的清理、创面不良肉芽组织的修剪、创缘水肿或假性愈合的清创、特制带药纱条药线或敷料的创面敷药引流等。</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所定价格涵盖切口创面冲洗、清理、修剪、清创、引流等专科换药步骤的人力资源和物质资源消耗（含药物）。</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6周岁及以下儿童加收30%</w:t>
            </w: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55</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7</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T120600007</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坏死性筋膜炎专科换药</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通过专科换药，及时畅通创面引流、反复彻底清创、药物溶液灌洗、药物纱条填塞，以预防术后感染，促进伤口愈合。</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所定价格涵盖切口创面冲洗、清理、修剪、清创、引流等专科换药步骤的人力资源和物质资源消耗（含药物）。</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6周岁及以下儿童加收30%</w:t>
            </w:r>
          </w:p>
        </w:tc>
        <w:tc>
          <w:tcPr>
            <w:tcW w:w="48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01单纯肛周</w:t>
            </w:r>
          </w:p>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02累及会阴、阴囊、腹股沟</w:t>
            </w:r>
          </w:p>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03累及双下肢和（或）累及腹壁</w:t>
            </w: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330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8</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T470000013</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中药保留灌肠</w:t>
            </w:r>
          </w:p>
        </w:tc>
        <w:tc>
          <w:tcPr>
            <w:tcW w:w="126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通过经直肠用药，使药物更好透过直肠粘膜及肠壁吸收。尤其对于肛肠和妇科疾病，使病灶药物浓度高，针对性强，起效快，利于疾病恢复。</w:t>
            </w:r>
          </w:p>
        </w:tc>
        <w:tc>
          <w:tcPr>
            <w:tcW w:w="775"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所定价格涵盖选取体位、药物加热、灌肠给药、护理等步骤的人力资源和物质资源消耗。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35</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9</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T410000015</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铜砭刮痧</w:t>
            </w:r>
          </w:p>
        </w:tc>
        <w:tc>
          <w:tcPr>
            <w:tcW w:w="1261"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采用铜砭（黄铜刮痧板），通过特定的刮痧手法，增加人的免疫功能，排出各种毒素和病毒，使病变的机体修复再生。</w:t>
            </w:r>
          </w:p>
        </w:tc>
        <w:tc>
          <w:tcPr>
            <w:tcW w:w="775"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所定价格涵盖对患者体质辩证、再在相应的体表部位进行刮痧治疗等步骤的人力资源和物质资源消耗。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50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每部位</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10</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T440000013</w:t>
            </w:r>
          </w:p>
        </w:tc>
        <w:tc>
          <w:tcPr>
            <w:tcW w:w="530"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太极旋灸</w:t>
            </w:r>
          </w:p>
        </w:tc>
        <w:tc>
          <w:tcPr>
            <w:tcW w:w="1261"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通过此种继承创新的中医外治艾灸手法，要求被灸者配合不同的呼吸法，在扶阳的同时更注重气机的调畅，从而达到治已病、防未病的目的。</w:t>
            </w:r>
          </w:p>
        </w:tc>
        <w:tc>
          <w:tcPr>
            <w:tcW w:w="775"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所定价格涵盖辩证、开穴、施灸、封穴、记录等操作步骤的人力资源和物质资源消耗。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240</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小时</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11</w:t>
            </w:r>
          </w:p>
        </w:tc>
        <w:tc>
          <w:tcPr>
            <w:tcW w:w="51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T410000016</w:t>
            </w:r>
          </w:p>
        </w:tc>
        <w:tc>
          <w:tcPr>
            <w:tcW w:w="530" w:type="pct"/>
            <w:noWrap/>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筋膜内热针</w:t>
            </w:r>
          </w:p>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治疗</w:t>
            </w:r>
          </w:p>
        </w:tc>
        <w:tc>
          <w:tcPr>
            <w:tcW w:w="1261"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通过将特制针具根据治疗需要刺入人体组织的深筋膜部位，并视患者病情加热针具至不同温度，使松解并修复痉挛变性的筋膜组织，促进局部血液循环，减轻肌筋膜的张力和无菌性炎症，促进细胞再生和再血管化，从而使筋膜痉挛变性缺血情况得以改善,从而起到治疗和预防疾病的作用。</w:t>
            </w:r>
          </w:p>
        </w:tc>
        <w:tc>
          <w:tcPr>
            <w:tcW w:w="775" w:type="pct"/>
            <w:noWrap w:val="0"/>
            <w:vAlign w:val="center"/>
          </w:tcPr>
          <w:p>
            <w:pPr>
              <w:keepNext w:val="0"/>
              <w:keepLines w:val="0"/>
              <w:pageBreakBefore w:val="0"/>
              <w:widowControl/>
              <w:kinsoku/>
              <w:wordWrap/>
              <w:overflowPunct/>
              <w:topLinePunct w:val="0"/>
              <w:autoSpaceDE/>
              <w:autoSpaceDN/>
              <w:bidi w:val="0"/>
              <w:adjustRightInd/>
              <w:snapToGrid w:val="0"/>
              <w:spacing w:line="280" w:lineRule="exact"/>
              <w:ind w:left="0" w:leftChars="0" w:right="0" w:rightChars="0" w:firstLine="0" w:firstLineChars="0"/>
              <w:jc w:val="both"/>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所定价格涵盖选择体位、布点、消毒、局部麻醉、针具选择、进针、加热、取针等操作步骤的人力资源和物质资源消耗。</w:t>
            </w:r>
          </w:p>
        </w:tc>
        <w:tc>
          <w:tcPr>
            <w:tcW w:w="395"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481"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c>
          <w:tcPr>
            <w:tcW w:w="297"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285</w:t>
            </w:r>
          </w:p>
        </w:tc>
        <w:tc>
          <w:tcPr>
            <w:tcW w:w="248" w:type="pct"/>
            <w:noWrap/>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r>
              <w:rPr>
                <w:rFonts w:hint="eastAsia" w:ascii="方正书宋简体" w:hAnsi="方正书宋简体" w:eastAsia="方正书宋简体" w:cs="方正书宋简体"/>
                <w:color w:val="auto"/>
                <w:kern w:val="0"/>
                <w:sz w:val="20"/>
                <w:szCs w:val="20"/>
              </w:rPr>
              <w:t>次</w:t>
            </w:r>
          </w:p>
        </w:tc>
        <w:tc>
          <w:tcPr>
            <w:tcW w:w="251" w:type="pct"/>
            <w:noWrap w:val="0"/>
            <w:vAlign w:val="center"/>
          </w:tcPr>
          <w:p>
            <w:pPr>
              <w:keepNext w:val="0"/>
              <w:keepLines w:val="0"/>
              <w:pageBreakBefore w:val="0"/>
              <w:widowControl/>
              <w:kinsoku/>
              <w:wordWrap/>
              <w:overflowPunct/>
              <w:topLinePunct w:val="0"/>
              <w:autoSpaceDE/>
              <w:autoSpaceDN/>
              <w:bidi w:val="0"/>
              <w:adjustRightInd/>
              <w:spacing w:line="280" w:lineRule="exact"/>
              <w:ind w:left="0" w:leftChars="0" w:right="0" w:rightChars="0" w:firstLine="0" w:firstLineChars="0"/>
              <w:jc w:val="center"/>
              <w:textAlignment w:val="auto"/>
              <w:rPr>
                <w:rFonts w:hint="eastAsia" w:ascii="方正书宋简体" w:hAnsi="方正书宋简体" w:eastAsia="方正书宋简体" w:cs="方正书宋简体"/>
                <w:color w:val="auto"/>
                <w:kern w:val="0"/>
                <w:sz w:val="20"/>
                <w:szCs w:val="20"/>
              </w:rPr>
            </w:pPr>
          </w:p>
        </w:tc>
      </w:tr>
    </w:tbl>
    <w:p>
      <w:pPr>
        <w:jc w:val="left"/>
        <w:rPr>
          <w:rFonts w:hint="default" w:ascii="Times New Roman" w:hAnsi="Times New Roman" w:cs="Times New Roman"/>
          <w:color w:val="auto"/>
        </w:rPr>
        <w:sectPr>
          <w:headerReference r:id="rId3" w:type="default"/>
          <w:pgSz w:w="16838" w:h="11906" w:orient="landscape"/>
          <w:pgMar w:top="1417" w:right="1418" w:bottom="1417" w:left="1418" w:header="851" w:footer="992" w:gutter="0"/>
          <w:cols w:space="720" w:num="1"/>
          <w:docGrid w:type="lines" w:linePitch="312" w:charSpace="0"/>
        </w:sectPr>
      </w:pPr>
    </w:p>
    <w:p>
      <w:pPr>
        <w:bidi w:val="0"/>
        <w:jc w:val="left"/>
        <w:rPr>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5CB5CB-18C2-430B-BD36-48A7AB6BCA1D}"/>
  </w:font>
  <w:font w:name="Arial">
    <w:panose1 w:val="020B0604020202020204"/>
    <w:charset w:val="01"/>
    <w:family w:val="swiss"/>
    <w:pitch w:val="default"/>
    <w:sig w:usb0="E0002EFF" w:usb1="C000785B" w:usb2="00000009" w:usb3="00000000" w:csb0="400001FF" w:csb1="FFFF0000"/>
    <w:embedRegular r:id="rId2" w:fontKey="{8DB51C9B-D357-48F1-8422-38B780D41C9C}"/>
  </w:font>
  <w:font w:name="黑体">
    <w:panose1 w:val="02010609060101010101"/>
    <w:charset w:val="86"/>
    <w:family w:val="auto"/>
    <w:pitch w:val="default"/>
    <w:sig w:usb0="800002BF" w:usb1="38CF7CFA" w:usb2="00000016" w:usb3="00000000" w:csb0="00040001" w:csb1="00000000"/>
    <w:embedRegular r:id="rId3" w:fontKey="{47B5DB3C-FFA2-499D-A4AE-A02051DA74D1}"/>
  </w:font>
  <w:font w:name="Courier New">
    <w:panose1 w:val="02070309020205020404"/>
    <w:charset w:val="01"/>
    <w:family w:val="modern"/>
    <w:pitch w:val="default"/>
    <w:sig w:usb0="E0002EFF" w:usb1="C0007843" w:usb2="00000009" w:usb3="00000000" w:csb0="400001FF" w:csb1="FFFF0000"/>
    <w:embedRegular r:id="rId4" w:fontKey="{8F7D8602-0951-4FF2-AF5D-7F41073BB9FA}"/>
  </w:font>
  <w:font w:name="Symbol">
    <w:panose1 w:val="05050102010706020507"/>
    <w:charset w:val="02"/>
    <w:family w:val="roman"/>
    <w:pitch w:val="default"/>
    <w:sig w:usb0="00000000" w:usb1="00000000" w:usb2="00000000" w:usb3="00000000" w:csb0="80000000" w:csb1="00000000"/>
    <w:embedRegular r:id="rId5" w:fontKey="{1BD45CE7-7202-4A12-9BD1-A92BCA363DC3}"/>
  </w:font>
  <w:font w:name="Calibri">
    <w:panose1 w:val="020F0502020204030204"/>
    <w:charset w:val="00"/>
    <w:family w:val="swiss"/>
    <w:pitch w:val="default"/>
    <w:sig w:usb0="E4002EFF" w:usb1="C000247B" w:usb2="00000009" w:usb3="00000000" w:csb0="200001FF" w:csb1="00000000"/>
    <w:embedRegular r:id="rId6" w:fontKey="{2B4487A4-1FE7-4FDF-AFE7-08B678992073}"/>
  </w:font>
  <w:font w:name="方正小标宋_GBK">
    <w:panose1 w:val="03000509000000000000"/>
    <w:charset w:val="86"/>
    <w:family w:val="script"/>
    <w:pitch w:val="default"/>
    <w:sig w:usb0="00000001" w:usb1="080E0000" w:usb2="00000000" w:usb3="00000000" w:csb0="00040000" w:csb1="00000000"/>
    <w:embedRegular r:id="rId7" w:fontKey="{25C462EB-9535-4076-A68A-11D9C595B9DE}"/>
  </w:font>
  <w:font w:name="方正书宋简体">
    <w:altName w:val="宋体"/>
    <w:panose1 w:val="03000509000000000000"/>
    <w:charset w:val="86"/>
    <w:family w:val="auto"/>
    <w:pitch w:val="default"/>
    <w:sig w:usb0="00000000" w:usb1="00000000" w:usb2="00000000" w:usb3="00000000" w:csb0="00040000" w:csb1="00000000"/>
    <w:embedRegular r:id="rId8" w:fontKey="{FF9025CE-A935-450A-900F-9B1AF9BB6973}"/>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86191BF9-2143-4F72-9FFB-94E7544CC7A8}"/>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yOTJjNTUwMDliZTA3NTEzMjU4OTBiMmMzYzhlZDIifQ=="/>
    <w:docVar w:name="KSO_WPS_MARK_KEY" w:val="94b31d4c-90b0-4c6c-8cb2-45980853c722"/>
  </w:docVars>
  <w:rsids>
    <w:rsidRoot w:val="06770B02"/>
    <w:rsid w:val="06770B02"/>
    <w:rsid w:val="4E626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next w:val="3"/>
    <w:qFormat/>
    <w:uiPriority w:val="99"/>
    <w:pPr>
      <w:tabs>
        <w:tab w:val="center" w:pos="4153"/>
        <w:tab w:val="right" w:pos="8306"/>
      </w:tabs>
      <w:snapToGrid w:val="0"/>
      <w:jc w:val="left"/>
    </w:pPr>
    <w:rPr>
      <w:sz w:val="18"/>
      <w:szCs w:val="18"/>
    </w:rPr>
  </w:style>
  <w:style w:type="paragraph" w:styleId="3">
    <w:name w:val="index 5"/>
    <w:basedOn w:val="1"/>
    <w:next w:val="1"/>
    <w:qFormat/>
    <w:uiPriority w:val="0"/>
    <w:pPr>
      <w:ind w:left="1680"/>
    </w:p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1680</Words>
  <Characters>1814</Characters>
  <Lines>0</Lines>
  <Paragraphs>0</Paragraphs>
  <TotalTime>2</TotalTime>
  <ScaleCrop>false</ScaleCrop>
  <LinksUpToDate>false</LinksUpToDate>
  <CharactersWithSpaces>1814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2021-08-17T01:09:00Z</dcterms:created>
  <dc:creator>暖暖的奇迹</dc:creator>
  <cp:lastModifiedBy>好想吃糖油粑粑</cp:lastModifiedBy>
  <dcterms:modified xsi:type="dcterms:W3CDTF">2024-01-25T01:55:02Z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243377329_embed</vt:lpwstr>
  </property>
  <property fmtid="{D5CDD505-2E9C-101B-9397-08002B2CF9AE}" pid="4" name="ICV">
    <vt:lpwstr>E4A88FE72108446784A9557A456918E8_13</vt:lpwstr>
  </property>
</Properties>
</file>