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AA9" w:rsidRDefault="00305AA9" w:rsidP="00305AA9">
      <w:pPr>
        <w:spacing w:line="600" w:lineRule="exact"/>
        <w:ind w:rightChars="-127" w:right="-267"/>
        <w:jc w:val="center"/>
        <w:rPr>
          <w:rFonts w:ascii="Times New Roman" w:eastAsia="黑体" w:hAnsi="Times New Roman" w:hint="eastAsia"/>
          <w:color w:val="000000"/>
          <w:sz w:val="42"/>
          <w:szCs w:val="42"/>
        </w:rPr>
      </w:pPr>
      <w:r>
        <w:rPr>
          <w:rFonts w:ascii="Times New Roman" w:eastAsia="黑体" w:hAnsi="Times New Roman"/>
          <w:color w:val="000000"/>
          <w:sz w:val="42"/>
          <w:szCs w:val="42"/>
        </w:rPr>
        <w:t>在长部省属公立医院医保基金监管重点检查内容</w:t>
      </w:r>
    </w:p>
    <w:p w:rsidR="00305AA9" w:rsidRPr="00305AA9" w:rsidRDefault="00305AA9" w:rsidP="00305AA9">
      <w:pPr>
        <w:pStyle w:val="a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1"/>
        <w:gridCol w:w="851"/>
        <w:gridCol w:w="8363"/>
      </w:tblGrid>
      <w:tr w:rsidR="00305AA9" w:rsidTr="0063417B">
        <w:trPr>
          <w:trHeight w:val="297"/>
          <w:jc w:val="center"/>
        </w:trPr>
        <w:tc>
          <w:tcPr>
            <w:tcW w:w="1271" w:type="dxa"/>
            <w:vAlign w:val="center"/>
          </w:tcPr>
          <w:p w:rsidR="00305AA9" w:rsidRDefault="00305AA9" w:rsidP="0063417B">
            <w:pPr>
              <w:jc w:val="center"/>
              <w:rPr>
                <w:rFonts w:ascii="Times New Roman" w:eastAsia="黑体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黑体" w:hAnsi="Times New Roman"/>
                <w:color w:val="000000"/>
                <w:sz w:val="27"/>
                <w:szCs w:val="27"/>
              </w:rPr>
              <w:t>项类</w:t>
            </w:r>
          </w:p>
        </w:tc>
        <w:tc>
          <w:tcPr>
            <w:tcW w:w="851" w:type="dxa"/>
            <w:vAlign w:val="center"/>
          </w:tcPr>
          <w:p w:rsidR="00305AA9" w:rsidRDefault="00305AA9" w:rsidP="0063417B">
            <w:pPr>
              <w:jc w:val="center"/>
              <w:rPr>
                <w:rFonts w:ascii="Times New Roman" w:eastAsia="黑体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黑体" w:hAnsi="Times New Roman"/>
                <w:color w:val="000000"/>
                <w:sz w:val="27"/>
                <w:szCs w:val="27"/>
              </w:rPr>
              <w:t>序号</w:t>
            </w:r>
          </w:p>
        </w:tc>
        <w:tc>
          <w:tcPr>
            <w:tcW w:w="8363" w:type="dxa"/>
            <w:vAlign w:val="center"/>
          </w:tcPr>
          <w:p w:rsidR="00305AA9" w:rsidRDefault="00305AA9" w:rsidP="0063417B">
            <w:pPr>
              <w:jc w:val="center"/>
              <w:rPr>
                <w:rFonts w:ascii="Times New Roman" w:eastAsia="黑体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黑体" w:hAnsi="Times New Roman"/>
                <w:color w:val="000000"/>
                <w:sz w:val="27"/>
                <w:szCs w:val="27"/>
              </w:rPr>
              <w:t>重点检查内容（专项治理重点）</w:t>
            </w:r>
          </w:p>
        </w:tc>
      </w:tr>
      <w:tr w:rsidR="00305AA9" w:rsidTr="0063417B">
        <w:trPr>
          <w:trHeight w:val="716"/>
          <w:jc w:val="center"/>
        </w:trPr>
        <w:tc>
          <w:tcPr>
            <w:tcW w:w="1271" w:type="dxa"/>
            <w:vMerge w:val="restart"/>
            <w:vAlign w:val="center"/>
          </w:tcPr>
          <w:p w:rsidR="00305AA9" w:rsidRDefault="00305AA9" w:rsidP="0063417B">
            <w:pPr>
              <w:jc w:val="center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执行医保、卫健等相关部门政策规定及医疗服务协议情况</w:t>
            </w:r>
          </w:p>
        </w:tc>
        <w:tc>
          <w:tcPr>
            <w:tcW w:w="851" w:type="dxa"/>
            <w:vAlign w:val="center"/>
          </w:tcPr>
          <w:p w:rsidR="00305AA9" w:rsidRDefault="00305AA9" w:rsidP="0063417B">
            <w:pPr>
              <w:jc w:val="center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8363" w:type="dxa"/>
            <w:vAlign w:val="center"/>
          </w:tcPr>
          <w:p w:rsidR="00305AA9" w:rsidRDefault="00305AA9" w:rsidP="0063417B">
            <w:pPr>
              <w:spacing w:line="400" w:lineRule="exact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未建立参保身份核查制度，或核查工作流于形式，导致非参保人员冒用参保身份就医用药骗取医疗保障基金。</w:t>
            </w:r>
          </w:p>
        </w:tc>
      </w:tr>
      <w:tr w:rsidR="00305AA9" w:rsidTr="0063417B">
        <w:trPr>
          <w:trHeight w:val="703"/>
          <w:jc w:val="center"/>
        </w:trPr>
        <w:tc>
          <w:tcPr>
            <w:tcW w:w="1271" w:type="dxa"/>
            <w:vMerge/>
            <w:vAlign w:val="center"/>
          </w:tcPr>
          <w:p w:rsidR="00305AA9" w:rsidRDefault="00305AA9" w:rsidP="0063417B">
            <w:pPr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305AA9" w:rsidRDefault="00305AA9" w:rsidP="0063417B">
            <w:pPr>
              <w:jc w:val="center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8363" w:type="dxa"/>
            <w:vAlign w:val="center"/>
          </w:tcPr>
          <w:p w:rsidR="00305AA9" w:rsidRDefault="00305AA9" w:rsidP="0063417B">
            <w:pPr>
              <w:spacing w:line="400" w:lineRule="exact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与非协议医药机构串通，将非协议医药机构发生的医疗费用纳入基本医保基金结算报销。</w:t>
            </w:r>
          </w:p>
        </w:tc>
      </w:tr>
      <w:tr w:rsidR="00305AA9" w:rsidTr="0063417B">
        <w:trPr>
          <w:trHeight w:val="264"/>
          <w:jc w:val="center"/>
        </w:trPr>
        <w:tc>
          <w:tcPr>
            <w:tcW w:w="1271" w:type="dxa"/>
            <w:vMerge/>
            <w:vAlign w:val="center"/>
          </w:tcPr>
          <w:p w:rsidR="00305AA9" w:rsidRDefault="00305AA9" w:rsidP="0063417B">
            <w:pPr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305AA9" w:rsidRDefault="00305AA9" w:rsidP="0063417B">
            <w:pPr>
              <w:jc w:val="center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8363" w:type="dxa"/>
            <w:vAlign w:val="center"/>
          </w:tcPr>
          <w:p w:rsidR="00305AA9" w:rsidRDefault="00305AA9" w:rsidP="0063417B">
            <w:pPr>
              <w:spacing w:line="400" w:lineRule="exact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未建立医药费用管控机制，医药费用相关指标超出协议约定。</w:t>
            </w:r>
          </w:p>
        </w:tc>
      </w:tr>
      <w:tr w:rsidR="00305AA9" w:rsidTr="0063417B">
        <w:trPr>
          <w:trHeight w:val="557"/>
          <w:jc w:val="center"/>
        </w:trPr>
        <w:tc>
          <w:tcPr>
            <w:tcW w:w="1271" w:type="dxa"/>
            <w:vMerge/>
            <w:vAlign w:val="center"/>
          </w:tcPr>
          <w:p w:rsidR="00305AA9" w:rsidRDefault="00305AA9" w:rsidP="0063417B">
            <w:pPr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305AA9" w:rsidRDefault="00305AA9" w:rsidP="0063417B">
            <w:pPr>
              <w:jc w:val="center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8363" w:type="dxa"/>
            <w:vAlign w:val="center"/>
          </w:tcPr>
          <w:p w:rsidR="00305AA9" w:rsidRDefault="00305AA9" w:rsidP="0063417B">
            <w:pPr>
              <w:spacing w:line="400" w:lineRule="exact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不具备医保定点医药机构相关信息工作基础，未及时动态真实传送医药费用明细等信息，发生虚假医药费用结算等，危害医保基金安全。</w:t>
            </w:r>
          </w:p>
        </w:tc>
      </w:tr>
      <w:tr w:rsidR="00305AA9" w:rsidTr="0063417B">
        <w:trPr>
          <w:trHeight w:val="874"/>
          <w:jc w:val="center"/>
        </w:trPr>
        <w:tc>
          <w:tcPr>
            <w:tcW w:w="1271" w:type="dxa"/>
            <w:vMerge/>
            <w:vAlign w:val="center"/>
          </w:tcPr>
          <w:p w:rsidR="00305AA9" w:rsidRDefault="00305AA9" w:rsidP="0063417B">
            <w:pPr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305AA9" w:rsidRDefault="00305AA9" w:rsidP="0063417B">
            <w:pPr>
              <w:jc w:val="center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8363" w:type="dxa"/>
            <w:vAlign w:val="center"/>
          </w:tcPr>
          <w:p w:rsidR="00305AA9" w:rsidRDefault="00305AA9" w:rsidP="0063417B">
            <w:pPr>
              <w:spacing w:line="400" w:lineRule="exact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规避医保管理政策要求，将患者住院治疗分解为二次及以上住院，或患者住院期间，要求患者至门诊缴费，分解住院费用。</w:t>
            </w:r>
          </w:p>
        </w:tc>
      </w:tr>
      <w:tr w:rsidR="00305AA9" w:rsidTr="0063417B">
        <w:trPr>
          <w:trHeight w:val="1296"/>
          <w:jc w:val="center"/>
        </w:trPr>
        <w:tc>
          <w:tcPr>
            <w:tcW w:w="1271" w:type="dxa"/>
            <w:vMerge/>
            <w:vAlign w:val="center"/>
          </w:tcPr>
          <w:p w:rsidR="00305AA9" w:rsidRDefault="00305AA9" w:rsidP="0063417B">
            <w:pPr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305AA9" w:rsidRDefault="00305AA9" w:rsidP="0063417B">
            <w:pPr>
              <w:jc w:val="center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8363" w:type="dxa"/>
            <w:vAlign w:val="center"/>
          </w:tcPr>
          <w:p w:rsidR="00305AA9" w:rsidRDefault="00305AA9" w:rsidP="0063417B">
            <w:pPr>
              <w:spacing w:line="400" w:lineRule="exact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违反药品及耗材相关管理制度和采购管理规定，私自采购以及以折让价格入库，网采备案价格纳入医保结算；公立医疗机构违规加成收费等。</w:t>
            </w:r>
          </w:p>
        </w:tc>
      </w:tr>
      <w:tr w:rsidR="00305AA9" w:rsidTr="0063417B">
        <w:trPr>
          <w:trHeight w:val="874"/>
          <w:jc w:val="center"/>
        </w:trPr>
        <w:tc>
          <w:tcPr>
            <w:tcW w:w="1271" w:type="dxa"/>
            <w:vMerge/>
            <w:vAlign w:val="center"/>
          </w:tcPr>
          <w:p w:rsidR="00305AA9" w:rsidRDefault="00305AA9" w:rsidP="0063417B">
            <w:pPr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305AA9" w:rsidRDefault="00305AA9" w:rsidP="0063417B">
            <w:pPr>
              <w:jc w:val="center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8363" w:type="dxa"/>
            <w:vAlign w:val="center"/>
          </w:tcPr>
          <w:p w:rsidR="00305AA9" w:rsidRDefault="00305AA9" w:rsidP="0063417B">
            <w:pPr>
              <w:spacing w:line="400" w:lineRule="exact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违反卫健等部门相关法规，超执业地点、执业范围、执业类别、诊疗科目等开展诊疗服务并纳入医保结算，危害医保基金安全。</w:t>
            </w:r>
          </w:p>
        </w:tc>
      </w:tr>
      <w:tr w:rsidR="00305AA9" w:rsidTr="0063417B">
        <w:trPr>
          <w:trHeight w:val="1296"/>
          <w:jc w:val="center"/>
        </w:trPr>
        <w:tc>
          <w:tcPr>
            <w:tcW w:w="1271" w:type="dxa"/>
            <w:vMerge/>
            <w:vAlign w:val="center"/>
          </w:tcPr>
          <w:p w:rsidR="00305AA9" w:rsidRDefault="00305AA9" w:rsidP="0063417B">
            <w:pPr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305AA9" w:rsidRDefault="00305AA9" w:rsidP="0063417B">
            <w:pPr>
              <w:jc w:val="center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8</w:t>
            </w:r>
          </w:p>
        </w:tc>
        <w:tc>
          <w:tcPr>
            <w:tcW w:w="8363" w:type="dxa"/>
            <w:vAlign w:val="center"/>
          </w:tcPr>
          <w:p w:rsidR="00305AA9" w:rsidRDefault="00305AA9" w:rsidP="0063417B">
            <w:pPr>
              <w:spacing w:line="400" w:lineRule="exact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相关项目获得财政、慈善以及科研经费等支持，重复收取费用骗取医保基金。如，定点医疗机构收取</w:t>
            </w: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GCP</w:t>
            </w: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（药物临床试验质量管理规范）项目经费，但又纳入医保重复报销等。</w:t>
            </w:r>
          </w:p>
        </w:tc>
      </w:tr>
      <w:tr w:rsidR="00305AA9" w:rsidTr="0063417B">
        <w:trPr>
          <w:trHeight w:val="519"/>
          <w:jc w:val="center"/>
        </w:trPr>
        <w:tc>
          <w:tcPr>
            <w:tcW w:w="1271" w:type="dxa"/>
            <w:vMerge/>
            <w:vAlign w:val="center"/>
          </w:tcPr>
          <w:p w:rsidR="00305AA9" w:rsidRDefault="00305AA9" w:rsidP="0063417B">
            <w:pPr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305AA9" w:rsidRDefault="00305AA9" w:rsidP="0063417B">
            <w:pPr>
              <w:jc w:val="center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9</w:t>
            </w:r>
          </w:p>
        </w:tc>
        <w:tc>
          <w:tcPr>
            <w:tcW w:w="8363" w:type="dxa"/>
            <w:vAlign w:val="center"/>
          </w:tcPr>
          <w:p w:rsidR="00305AA9" w:rsidRDefault="00305AA9" w:rsidP="0063417B">
            <w:pPr>
              <w:spacing w:line="400" w:lineRule="exact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损毁信息数据、医疗文书等，拒不配合医保基金监督检查。</w:t>
            </w:r>
          </w:p>
        </w:tc>
      </w:tr>
      <w:tr w:rsidR="00305AA9" w:rsidTr="0063417B">
        <w:trPr>
          <w:trHeight w:val="949"/>
          <w:jc w:val="center"/>
        </w:trPr>
        <w:tc>
          <w:tcPr>
            <w:tcW w:w="1271" w:type="dxa"/>
            <w:vMerge w:val="restart"/>
            <w:vAlign w:val="center"/>
          </w:tcPr>
          <w:p w:rsidR="00305AA9" w:rsidRDefault="00305AA9" w:rsidP="0063417B">
            <w:pPr>
              <w:jc w:val="center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住院管理情况</w:t>
            </w:r>
          </w:p>
        </w:tc>
        <w:tc>
          <w:tcPr>
            <w:tcW w:w="851" w:type="dxa"/>
            <w:vAlign w:val="center"/>
          </w:tcPr>
          <w:p w:rsidR="00305AA9" w:rsidRDefault="00305AA9" w:rsidP="0063417B">
            <w:pPr>
              <w:jc w:val="center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8363" w:type="dxa"/>
            <w:vAlign w:val="center"/>
          </w:tcPr>
          <w:p w:rsidR="00305AA9" w:rsidRDefault="00305AA9" w:rsidP="0063417B">
            <w:pPr>
              <w:spacing w:line="400" w:lineRule="exact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通过减免伙食费、空调费及其他个人自付费用，以及通过开展义诊、送医送药等活动，吸引未达到住院指征的病人入院等。</w:t>
            </w:r>
          </w:p>
        </w:tc>
      </w:tr>
      <w:tr w:rsidR="00305AA9" w:rsidTr="0063417B">
        <w:trPr>
          <w:trHeight w:val="874"/>
          <w:jc w:val="center"/>
        </w:trPr>
        <w:tc>
          <w:tcPr>
            <w:tcW w:w="1271" w:type="dxa"/>
            <w:vMerge/>
            <w:vAlign w:val="center"/>
          </w:tcPr>
          <w:p w:rsidR="00305AA9" w:rsidRDefault="00305AA9" w:rsidP="0063417B">
            <w:pPr>
              <w:jc w:val="center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305AA9" w:rsidRDefault="00305AA9" w:rsidP="0063417B">
            <w:pPr>
              <w:jc w:val="center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11</w:t>
            </w:r>
          </w:p>
        </w:tc>
        <w:tc>
          <w:tcPr>
            <w:tcW w:w="8363" w:type="dxa"/>
            <w:vAlign w:val="center"/>
          </w:tcPr>
          <w:p w:rsidR="00305AA9" w:rsidRDefault="00305AA9" w:rsidP="0063417B">
            <w:pPr>
              <w:spacing w:line="400" w:lineRule="exact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将病情轻微无需住院治疗或可在门诊治疗的患者收治入院；将慢性疾病康复期患者的复查收治入院；体检式住院等。</w:t>
            </w:r>
          </w:p>
        </w:tc>
      </w:tr>
      <w:tr w:rsidR="00305AA9" w:rsidTr="0063417B">
        <w:trPr>
          <w:trHeight w:val="797"/>
          <w:jc w:val="center"/>
        </w:trPr>
        <w:tc>
          <w:tcPr>
            <w:tcW w:w="1271" w:type="dxa"/>
            <w:vMerge/>
            <w:vAlign w:val="center"/>
          </w:tcPr>
          <w:p w:rsidR="00305AA9" w:rsidRDefault="00305AA9" w:rsidP="0063417B">
            <w:pPr>
              <w:jc w:val="center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305AA9" w:rsidRDefault="00305AA9" w:rsidP="0063417B">
            <w:pPr>
              <w:jc w:val="center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12</w:t>
            </w:r>
          </w:p>
        </w:tc>
        <w:tc>
          <w:tcPr>
            <w:tcW w:w="8363" w:type="dxa"/>
            <w:vAlign w:val="center"/>
          </w:tcPr>
          <w:p w:rsidR="00305AA9" w:rsidRDefault="00305AA9" w:rsidP="0063417B">
            <w:pPr>
              <w:spacing w:line="400" w:lineRule="exact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挂床住院。住院期间长时间不在床，发生医疗费用并纳入医保结算；无实际住院床位，患者仅挂床开展相关检查治疗。</w:t>
            </w:r>
          </w:p>
        </w:tc>
      </w:tr>
      <w:tr w:rsidR="00305AA9" w:rsidTr="0063417B">
        <w:trPr>
          <w:trHeight w:val="874"/>
          <w:jc w:val="center"/>
        </w:trPr>
        <w:tc>
          <w:tcPr>
            <w:tcW w:w="1271" w:type="dxa"/>
            <w:vMerge w:val="restart"/>
            <w:vAlign w:val="center"/>
          </w:tcPr>
          <w:p w:rsidR="00305AA9" w:rsidRDefault="00305AA9" w:rsidP="0063417B">
            <w:pPr>
              <w:jc w:val="center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收费管理情况</w:t>
            </w:r>
          </w:p>
        </w:tc>
        <w:tc>
          <w:tcPr>
            <w:tcW w:w="851" w:type="dxa"/>
            <w:vAlign w:val="center"/>
          </w:tcPr>
          <w:p w:rsidR="00305AA9" w:rsidRDefault="00305AA9" w:rsidP="0063417B">
            <w:pPr>
              <w:jc w:val="center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13</w:t>
            </w:r>
          </w:p>
        </w:tc>
        <w:tc>
          <w:tcPr>
            <w:tcW w:w="8363" w:type="dxa"/>
            <w:vAlign w:val="center"/>
          </w:tcPr>
          <w:p w:rsidR="00305AA9" w:rsidRDefault="00305AA9" w:rsidP="0063417B">
            <w:pPr>
              <w:spacing w:line="400" w:lineRule="exact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虚假结算。伪造、变造医疗文书、财务票据凭证或结算数据等，套取医保基金。</w:t>
            </w:r>
          </w:p>
        </w:tc>
      </w:tr>
      <w:tr w:rsidR="00305AA9" w:rsidTr="0063417B">
        <w:trPr>
          <w:trHeight w:val="874"/>
          <w:jc w:val="center"/>
        </w:trPr>
        <w:tc>
          <w:tcPr>
            <w:tcW w:w="1271" w:type="dxa"/>
            <w:vMerge/>
            <w:vAlign w:val="center"/>
          </w:tcPr>
          <w:p w:rsidR="00305AA9" w:rsidRDefault="00305AA9" w:rsidP="0063417B">
            <w:pPr>
              <w:jc w:val="center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305AA9" w:rsidRDefault="00305AA9" w:rsidP="0063417B">
            <w:pPr>
              <w:jc w:val="center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14</w:t>
            </w:r>
          </w:p>
        </w:tc>
        <w:tc>
          <w:tcPr>
            <w:tcW w:w="8363" w:type="dxa"/>
            <w:vAlign w:val="center"/>
          </w:tcPr>
          <w:p w:rsidR="00305AA9" w:rsidRDefault="00305AA9" w:rsidP="0063417B">
            <w:pPr>
              <w:spacing w:line="400" w:lineRule="exact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分解收费。将诊疗服务项目实施过程分解成多个环节逐个收费，或将诊疗项目内涵已包含的内容，单独计费。</w:t>
            </w:r>
          </w:p>
        </w:tc>
      </w:tr>
      <w:tr w:rsidR="00305AA9" w:rsidTr="0063417B">
        <w:trPr>
          <w:trHeight w:val="689"/>
          <w:jc w:val="center"/>
        </w:trPr>
        <w:tc>
          <w:tcPr>
            <w:tcW w:w="1271" w:type="dxa"/>
            <w:vMerge/>
            <w:vAlign w:val="center"/>
          </w:tcPr>
          <w:p w:rsidR="00305AA9" w:rsidRDefault="00305AA9" w:rsidP="0063417B">
            <w:pPr>
              <w:jc w:val="center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305AA9" w:rsidRDefault="00305AA9" w:rsidP="0063417B">
            <w:pPr>
              <w:jc w:val="center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15</w:t>
            </w:r>
          </w:p>
        </w:tc>
        <w:tc>
          <w:tcPr>
            <w:tcW w:w="8363" w:type="dxa"/>
            <w:vAlign w:val="center"/>
          </w:tcPr>
          <w:p w:rsidR="00305AA9" w:rsidRDefault="00305AA9" w:rsidP="0063417B">
            <w:pPr>
              <w:spacing w:line="400" w:lineRule="exact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超标准收费。超过规定的价格标准、数量标准进行收费。</w:t>
            </w:r>
          </w:p>
        </w:tc>
      </w:tr>
      <w:tr w:rsidR="00305AA9" w:rsidTr="0063417B">
        <w:trPr>
          <w:trHeight w:val="1296"/>
          <w:jc w:val="center"/>
        </w:trPr>
        <w:tc>
          <w:tcPr>
            <w:tcW w:w="1271" w:type="dxa"/>
            <w:vMerge/>
            <w:vAlign w:val="center"/>
          </w:tcPr>
          <w:p w:rsidR="00305AA9" w:rsidRDefault="00305AA9" w:rsidP="0063417B">
            <w:pPr>
              <w:jc w:val="center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305AA9" w:rsidRDefault="00305AA9" w:rsidP="0063417B">
            <w:pPr>
              <w:jc w:val="center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8363" w:type="dxa"/>
            <w:vAlign w:val="center"/>
          </w:tcPr>
          <w:p w:rsidR="00305AA9" w:rsidRDefault="00305AA9" w:rsidP="0063417B">
            <w:pPr>
              <w:spacing w:line="400" w:lineRule="exact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虚记费用。对未开展的诊疗服务项目等进行收费，虚增医疗费用。未建立药品、耗材进销存管理台账（包括信息、纸质台账），进销存不符，虚记多记费用，严重危害医保基金安全</w:t>
            </w:r>
          </w:p>
        </w:tc>
      </w:tr>
      <w:tr w:rsidR="00305AA9" w:rsidTr="0063417B">
        <w:trPr>
          <w:trHeight w:val="1296"/>
          <w:jc w:val="center"/>
        </w:trPr>
        <w:tc>
          <w:tcPr>
            <w:tcW w:w="1271" w:type="dxa"/>
            <w:vMerge w:val="restart"/>
            <w:vAlign w:val="center"/>
          </w:tcPr>
          <w:p w:rsidR="00305AA9" w:rsidRDefault="00305AA9" w:rsidP="0063417B">
            <w:pPr>
              <w:jc w:val="center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执行医保报销政策情况</w:t>
            </w:r>
          </w:p>
        </w:tc>
        <w:tc>
          <w:tcPr>
            <w:tcW w:w="851" w:type="dxa"/>
            <w:vAlign w:val="center"/>
          </w:tcPr>
          <w:p w:rsidR="00305AA9" w:rsidRDefault="00305AA9" w:rsidP="0063417B">
            <w:pPr>
              <w:jc w:val="center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17</w:t>
            </w:r>
          </w:p>
        </w:tc>
        <w:tc>
          <w:tcPr>
            <w:tcW w:w="8363" w:type="dxa"/>
            <w:vAlign w:val="center"/>
          </w:tcPr>
          <w:p w:rsidR="00305AA9" w:rsidRDefault="00305AA9" w:rsidP="0063417B">
            <w:pPr>
              <w:spacing w:line="400" w:lineRule="exact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不执行原药品、诊疗项目、医用耗材、器械或医疗服务设施的支付名称及价格标准，或无收费标准的项目，但将其串换为医保目录内名称和价格标准结算。</w:t>
            </w:r>
          </w:p>
        </w:tc>
      </w:tr>
      <w:tr w:rsidR="00305AA9" w:rsidTr="0063417B">
        <w:trPr>
          <w:trHeight w:val="874"/>
          <w:jc w:val="center"/>
        </w:trPr>
        <w:tc>
          <w:tcPr>
            <w:tcW w:w="1271" w:type="dxa"/>
            <w:vMerge/>
            <w:vAlign w:val="center"/>
          </w:tcPr>
          <w:p w:rsidR="00305AA9" w:rsidRDefault="00305AA9" w:rsidP="0063417B">
            <w:pPr>
              <w:jc w:val="center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305AA9" w:rsidRDefault="00305AA9" w:rsidP="0063417B">
            <w:pPr>
              <w:jc w:val="center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18</w:t>
            </w:r>
          </w:p>
        </w:tc>
        <w:tc>
          <w:tcPr>
            <w:tcW w:w="8363" w:type="dxa"/>
            <w:vAlign w:val="center"/>
          </w:tcPr>
          <w:p w:rsidR="00305AA9" w:rsidRDefault="00305AA9" w:rsidP="0063417B">
            <w:pPr>
              <w:spacing w:line="400" w:lineRule="exact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药品、诊疗项目与服务设施使用，超出医保目录限制性支付范围并纳入医保结算。</w:t>
            </w:r>
          </w:p>
        </w:tc>
      </w:tr>
      <w:tr w:rsidR="00305AA9" w:rsidTr="0063417B">
        <w:trPr>
          <w:trHeight w:val="1296"/>
          <w:jc w:val="center"/>
        </w:trPr>
        <w:tc>
          <w:tcPr>
            <w:tcW w:w="1271" w:type="dxa"/>
            <w:vMerge/>
            <w:vAlign w:val="center"/>
          </w:tcPr>
          <w:p w:rsidR="00305AA9" w:rsidRDefault="00305AA9" w:rsidP="0063417B">
            <w:pPr>
              <w:jc w:val="center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305AA9" w:rsidRDefault="00305AA9" w:rsidP="0063417B">
            <w:pPr>
              <w:jc w:val="center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19</w:t>
            </w:r>
          </w:p>
        </w:tc>
        <w:tc>
          <w:tcPr>
            <w:tcW w:w="8363" w:type="dxa"/>
            <w:vAlign w:val="center"/>
          </w:tcPr>
          <w:p w:rsidR="00305AA9" w:rsidRDefault="00305AA9" w:rsidP="0063417B">
            <w:pPr>
              <w:spacing w:line="400" w:lineRule="exact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将应由工伤保险、公共卫生基金支付的费用纳入医保基金支付；将应第三人负担的医疗费用，申报医保基金报销；将发生医疗事故（含医疗纠纷性质未明确的）的医疗费用，申报医保基金报销。</w:t>
            </w:r>
          </w:p>
        </w:tc>
      </w:tr>
      <w:tr w:rsidR="00305AA9" w:rsidTr="0063417B">
        <w:trPr>
          <w:trHeight w:val="860"/>
          <w:jc w:val="center"/>
        </w:trPr>
        <w:tc>
          <w:tcPr>
            <w:tcW w:w="1271" w:type="dxa"/>
            <w:vAlign w:val="center"/>
          </w:tcPr>
          <w:p w:rsidR="00305AA9" w:rsidRDefault="00305AA9" w:rsidP="0063417B">
            <w:pPr>
              <w:jc w:val="center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合理诊疗情况</w:t>
            </w:r>
          </w:p>
        </w:tc>
        <w:tc>
          <w:tcPr>
            <w:tcW w:w="851" w:type="dxa"/>
            <w:vAlign w:val="center"/>
          </w:tcPr>
          <w:p w:rsidR="00305AA9" w:rsidRDefault="00305AA9" w:rsidP="0063417B">
            <w:pPr>
              <w:jc w:val="center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20</w:t>
            </w:r>
          </w:p>
        </w:tc>
        <w:tc>
          <w:tcPr>
            <w:tcW w:w="8363" w:type="dxa"/>
            <w:vAlign w:val="center"/>
          </w:tcPr>
          <w:p w:rsidR="00305AA9" w:rsidRDefault="00305AA9" w:rsidP="0063417B">
            <w:pPr>
              <w:spacing w:line="400" w:lineRule="exact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无临床指征的情况下，向患者提供了不必要的检查、化验、用药以及治疗。</w:t>
            </w:r>
          </w:p>
        </w:tc>
      </w:tr>
      <w:tr w:rsidR="00305AA9" w:rsidTr="0063417B">
        <w:trPr>
          <w:trHeight w:val="1116"/>
          <w:jc w:val="center"/>
        </w:trPr>
        <w:tc>
          <w:tcPr>
            <w:tcW w:w="1271" w:type="dxa"/>
            <w:vAlign w:val="center"/>
          </w:tcPr>
          <w:p w:rsidR="00305AA9" w:rsidRDefault="00305AA9" w:rsidP="0063417B">
            <w:pPr>
              <w:jc w:val="center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支付方式管理情况</w:t>
            </w:r>
          </w:p>
        </w:tc>
        <w:tc>
          <w:tcPr>
            <w:tcW w:w="851" w:type="dxa"/>
            <w:vAlign w:val="center"/>
          </w:tcPr>
          <w:p w:rsidR="00305AA9" w:rsidRDefault="00305AA9" w:rsidP="0063417B">
            <w:pPr>
              <w:jc w:val="center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21</w:t>
            </w:r>
          </w:p>
        </w:tc>
        <w:tc>
          <w:tcPr>
            <w:tcW w:w="8363" w:type="dxa"/>
            <w:vAlign w:val="center"/>
          </w:tcPr>
          <w:p w:rsidR="00305AA9" w:rsidRDefault="00305AA9" w:rsidP="0063417B">
            <w:pPr>
              <w:spacing w:line="400" w:lineRule="exact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高套病种（病组）诊断骗取基金；未将符合条件的病例纳入按病种付费结算；虚记多记医疗费用干扰按病种付费标准测算与监管等。</w:t>
            </w:r>
          </w:p>
        </w:tc>
      </w:tr>
      <w:tr w:rsidR="00305AA9" w:rsidTr="0063417B">
        <w:trPr>
          <w:trHeight w:val="488"/>
          <w:jc w:val="center"/>
        </w:trPr>
        <w:tc>
          <w:tcPr>
            <w:tcW w:w="1271" w:type="dxa"/>
            <w:vAlign w:val="center"/>
          </w:tcPr>
          <w:p w:rsidR="00305AA9" w:rsidRDefault="00305AA9" w:rsidP="0063417B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其他</w:t>
            </w:r>
          </w:p>
        </w:tc>
        <w:tc>
          <w:tcPr>
            <w:tcW w:w="851" w:type="dxa"/>
            <w:vAlign w:val="center"/>
          </w:tcPr>
          <w:p w:rsidR="00305AA9" w:rsidRDefault="00305AA9" w:rsidP="0063417B">
            <w:pPr>
              <w:jc w:val="center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22</w:t>
            </w:r>
          </w:p>
        </w:tc>
        <w:tc>
          <w:tcPr>
            <w:tcW w:w="8363" w:type="dxa"/>
            <w:vAlign w:val="center"/>
          </w:tcPr>
          <w:p w:rsidR="00305AA9" w:rsidRDefault="00305AA9" w:rsidP="0063417B">
            <w:pPr>
              <w:spacing w:line="400" w:lineRule="exact"/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仿宋_GB2312" w:hAnsi="Times New Roman"/>
                <w:color w:val="000000"/>
                <w:sz w:val="27"/>
                <w:szCs w:val="27"/>
              </w:rPr>
              <w:t>其他一切危害医保基金安全的行为。</w:t>
            </w:r>
          </w:p>
        </w:tc>
      </w:tr>
    </w:tbl>
    <w:p w:rsidR="00305AA9" w:rsidRDefault="00305AA9" w:rsidP="00305AA9">
      <w:pPr>
        <w:spacing w:line="600" w:lineRule="exact"/>
        <w:ind w:rightChars="-127" w:right="-267"/>
        <w:rPr>
          <w:rFonts w:ascii="Times New Roman" w:eastAsia="仿宋" w:hAnsi="Times New Roman"/>
          <w:color w:val="000000"/>
          <w:sz w:val="32"/>
          <w:szCs w:val="32"/>
        </w:rPr>
        <w:sectPr w:rsidR="00305AA9" w:rsidSect="00305AA9">
          <w:footerReference w:type="default" r:id="rId6"/>
          <w:pgSz w:w="11906" w:h="16838"/>
          <w:pgMar w:top="1984" w:right="1474" w:bottom="1814" w:left="1588" w:header="708" w:footer="709" w:gutter="0"/>
          <w:pgNumType w:fmt="numberInDash"/>
          <w:cols w:space="720"/>
          <w:formProt w:val="0"/>
          <w:titlePg/>
          <w:docGrid w:type="lines" w:linePitch="360"/>
        </w:sectPr>
      </w:pPr>
    </w:p>
    <w:p w:rsidR="00CE7ECA" w:rsidRPr="00305AA9" w:rsidRDefault="00CE7ECA" w:rsidP="00305AA9"/>
    <w:sectPr w:rsidR="00CE7ECA" w:rsidRPr="00305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ECA" w:rsidRDefault="00CE7ECA" w:rsidP="00305AA9">
      <w:r>
        <w:separator/>
      </w:r>
    </w:p>
  </w:endnote>
  <w:endnote w:type="continuationSeparator" w:id="1">
    <w:p w:rsidR="00CE7ECA" w:rsidRDefault="00CE7ECA" w:rsidP="00305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AA9" w:rsidRDefault="00305AA9">
    <w:pPr>
      <w:pStyle w:val="a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1025" type="#_x0000_t202" style="position:absolute;margin-left:-4.95pt;margin-top:0;width:35.05pt;height:28.15pt;z-index:251660288;mso-wrap-style:none;mso-position-horizontal:outside;mso-position-horizontal-relative:margin" o:gfxdata="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Xcsc0dEAAAADAQAADwAAAAAA&#10;AAABACAAAAAiAAAAZHJzL2Rvd25yZXYueG1sUEsBAhQAFAAAAAgAh07iQMXyn3/hAQAAtgMAAA4A&#10;AAAAAAAAAQAgAAAAIAEAAGRycy9lMm9Eb2MueG1sUEsFBgAAAAAGAAYAWQEAAHMFAAAAAA==&#10;" filled="f" stroked="f">
          <v:fill o:detectmouseclick="t"/>
          <v:textbox style="mso-fit-shape-to-text:t" inset="0,0,0,0">
            <w:txbxContent>
              <w:p w:rsidR="00305AA9" w:rsidRDefault="00305AA9">
                <w:pPr>
                  <w:pStyle w:val="a0"/>
                </w:pPr>
                <w:r>
                  <w:rPr>
                    <w:rFonts w:ascii="楷体_GB2312" w:eastAsia="楷体_GB2312" w:hAnsi="楷体_GB2312" w:cs="楷体_GB2312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楷体_GB2312" w:eastAsia="楷体_GB2312" w:hAnsi="楷体_GB2312" w:cs="楷体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楷体_GB2312" w:eastAsia="楷体_GB2312" w:hAnsi="楷体_GB2312" w:cs="楷体_GB2312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楷体_GB2312" w:eastAsia="楷体_GB2312" w:hAnsi="楷体_GB2312" w:cs="楷体_GB2312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楷体_GB2312" w:eastAsia="楷体_GB2312" w:hAnsi="楷体_GB2312" w:cs="楷体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ECA" w:rsidRDefault="00CE7ECA" w:rsidP="00305AA9">
      <w:r>
        <w:separator/>
      </w:r>
    </w:p>
  </w:footnote>
  <w:footnote w:type="continuationSeparator" w:id="1">
    <w:p w:rsidR="00CE7ECA" w:rsidRDefault="00CE7ECA" w:rsidP="00305A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5AA9"/>
    <w:rsid w:val="00305AA9"/>
    <w:rsid w:val="00CE7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05AA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305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305AA9"/>
    <w:rPr>
      <w:sz w:val="18"/>
      <w:szCs w:val="18"/>
    </w:rPr>
  </w:style>
  <w:style w:type="paragraph" w:styleId="a0">
    <w:name w:val="footer"/>
    <w:basedOn w:val="a"/>
    <w:link w:val="Char0"/>
    <w:unhideWhenUsed/>
    <w:rsid w:val="00305A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0"/>
    <w:rsid w:val="00305AA9"/>
    <w:rPr>
      <w:sz w:val="18"/>
      <w:szCs w:val="18"/>
    </w:rPr>
  </w:style>
  <w:style w:type="paragraph" w:styleId="5">
    <w:name w:val="index 5"/>
    <w:basedOn w:val="a"/>
    <w:next w:val="a"/>
    <w:qFormat/>
    <w:rsid w:val="00305AA9"/>
    <w:pPr>
      <w:ind w:left="16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658</Words>
  <Characters>665</Characters>
  <Application>Microsoft Office Word</Application>
  <DocSecurity>0</DocSecurity>
  <Lines>26</Lines>
  <Paragraphs>13</Paragraphs>
  <ScaleCrop>false</ScaleCrop>
  <Company>china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官网官微维护员</dc:creator>
  <cp:lastModifiedBy>官网官微维护员</cp:lastModifiedBy>
  <cp:revision>2</cp:revision>
  <dcterms:created xsi:type="dcterms:W3CDTF">2020-12-11T05:07:00Z</dcterms:created>
  <dcterms:modified xsi:type="dcterms:W3CDTF">2020-12-11T05:07:00Z</dcterms:modified>
</cp:coreProperties>
</file>