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after="469" w:afterLines="150" w:line="592" w:lineRule="exact"/>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实行按疗效价值付费的中医优势病种中医临床路径混合痔中医临床路径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路径说明：本路径适合于西医诊断为混合痔。</w:t>
      </w:r>
    </w:p>
    <w:p>
      <w:pPr>
        <w:pStyle w:val="27"/>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一、混合痔中医临床路径标准住院流程</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中医诊断：第一诊断为混合痔（TCD编码：A08.03.01.03）。</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西医诊断：第一诊断为混合痔（ICD-10编码：K64.811）；行混合痔外剥内扎术（17.9833）。</w:t>
      </w:r>
    </w:p>
    <w:p>
      <w:pPr>
        <w:pStyle w:val="28"/>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cs="Times New Roman"/>
          <w:color w:val="auto"/>
        </w:rPr>
      </w:pPr>
      <w:r>
        <w:rPr>
          <w:rFonts w:hint="default" w:ascii="Times New Roman" w:hAnsi="Times New Roman" w:cs="Times New Roman"/>
          <w:color w:val="auto"/>
        </w:rPr>
        <w:t>（二）诊断依据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中医诊断标准：参照中华人民共和国中医药行业标准《中医病证诊断疗效标准》（ZY/T001.7-94）、全国中医药行业高等教育“十三五”创新教材《中医肛肠病学》（何永恒、凌光烈主编，中国中医药出版社，2019年）进行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西医诊断标准：参照2020年中国中西医结合学会大肠肛门病专业委员会的《中国痔病诊疗指南（2020）》中的“混合痔诊断标准”。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2.疾病分类</w:t>
      </w:r>
    </w:p>
    <w:p>
      <w:pPr>
        <w:keepNext w:val="0"/>
        <w:keepLines w:val="0"/>
        <w:pageBreakBefore w:val="0"/>
        <w:widowControl w:val="0"/>
        <w:kinsoku/>
        <w:wordWrap/>
        <w:overflowPunct w:val="0"/>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参照2020年《中国痔病诊疗指南（2020）》的相关内容：</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内痔是肛门齿状线以上，直肠末端黏膜下的痔内静脉丛扩大曲张和充血而形成的柔软静脉团。内痔的主要临床表现是出血、脱出、肛周潮湿、瘙痒，可并发血栓、嵌顿、绞窄及排粪困难。</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外痔是发生于齿状线以下，由痔外静脉丛扩张或痔外静脉丛破裂或反复发炎、血流瘀滞、血栓形成或组织增生而成的疾病。外痔表面被皮肤覆盖，不易出血，主要临床表现为肛门部软组织团块，有肛门不适、潮湿瘙痒或异物感，如发生血栓及炎症时可有疼痛。</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混合痔是内痔和相应部位的外痔血管丛跨齿状线相互融合成一个整体，主要临床表现为内痔和外痔的症状同时存在，严重时表现为环状痔脱出。</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根据全国高等中医药院校规划教材第十版《中医外科学》（全国中医药行业高等教育“十三五”规划教材），混合痔临床常见证候：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风伤肠络证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湿热下注证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气滞血瘀证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脾虚气陷证</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参照国家中医药管理局“十一五”重点专科肛肠协作组痔（混合痔）诊疗方案进行治疗。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1.诊断明确:第一诊断为混合痔。</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2.禁忌症：严重的肺结核、梅毒；严重心、脑、肺疾病患者；严重肝、肾疾病或血液病患者、不能配合手术的精神病患者；合并其他严重肛周疾病者。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3.对于有明确禁忌症者，先治疗原发病，可予以对症治疗。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Style w:val="30"/>
          <w:rFonts w:hint="default" w:ascii="Times New Roman" w:hAnsi="Times New Roman" w:cs="Times New Roman"/>
          <w:color w:val="auto"/>
        </w:rPr>
        <w:t>（四）标准住院日：</w:t>
      </w:r>
      <w:r>
        <w:rPr>
          <w:rFonts w:hint="default" w:ascii="Times New Roman" w:hAnsi="Times New Roman" w:eastAsia="仿宋_GB2312" w:cs="Times New Roman"/>
          <w:color w:val="auto"/>
          <w:sz w:val="32"/>
        </w:rPr>
        <w:t>5天≤住院日≤10天。</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rPr>
        <w:t>（五）进入路径标准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1.中医诊断：第一诊断必须符合混合痔（TCD编码：A08.03.01.03），西医诊断：第一诊断为混合痔（ICD-10编码：K64.811）的患者；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2.无手术禁忌症，主手术操作为混合痔外剥内扎术（复杂性混合痔外剥内扎术）；</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3.当患者同时具有其他疾病诊断时，但在住院期间不需特殊处理也不影响第一诊断的临床路径流程实施时，可以进入路径。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4.患者同意接受手术。</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四诊合参，收集该病种不同证候的主症、次证、舌、脉特点。注意证侯的动态变化。</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术前准备1～2天，所必须的检查项目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1.血常规、尿常规、大便常规+隐血试验；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2.凝血功能检查；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3.传染性疾病筛查（乙肝三对、丙型肝炎抗体、血清梅毒抗体、艾滋病抗体检查）；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5.血糖、血脂；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6.电解质检查；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9.腹部彩超，包含肝胆脾及泌尿系（双肾膀胱输尿管）B超检查。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10.电子肛门镜检查或肛肠科常规检查（含直肠指诊、肛门镜检查）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11.根据病情需要而定，必要时可选择的检查项目：电子结肠镜检查、排粪造影、直肠腔内彩超（三维直肠彩超）、肛门直肠测压、盆腔及肛门MRI或CT检查等。</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1.辨证选择口服中药汤剂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（1）风伤肠络证：清热凉血祛风</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（2）湿热下注证：清热利湿止血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（3）气滞血瘀证：清热利湿祛风活血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（4）脾虚气陷证：补中益气</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2.外治法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（1）中药熏洗法：适用于手术前后，缓解症状。</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（2）中药外敷或中药塞药法：根据患者病情及创面情况选择。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3.外用中成药：清热祛湿、理气止痛。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4.手术治疗：混合痔外剥内扎术（复杂性混合痔外剥内扎术），可兼有一种及以上其他手术方式。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5.术后切口专科换药。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6.护理：辨证施护。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7.特色治疗：根据患者情况选用隔物灸、穴位贴敷治疗、中医定向透药、耳穴压豆等。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8.术前伴中重度贫血者输血治疗。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9.抗菌药物选择与使用时机：按《抗菌药物临床应用指导原则》（国卫办医发〔2015〕43号）应用抗菌药物；术前按污染伤口选择使用抗菌药物；术后视伤口情况合理使用抗菌药物；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（九）手术日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1.麻醉方式：连硬外麻醉、腰麻或全麻。</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2.手术方式：混合痔外剥内扎术（复杂性混合痔外剥内扎术），可兼有肛周常见疾病套扎治疗（RPH）/内痔环切术（PPH）/内痔硬化剂注射治疗/肛门内括约肌切断术等手术方式者；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3.必要时输血。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4.病理：术后标本送病理检查。</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1.患者一般情况良好。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2.伤口生长良好，大便基本正常，伤口疼痛可耐受，无明显便血或便血量少无需特殊处理。</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（十一）有无变异及原因分析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对临床路径实施过程中，因任何因素导致的未能按临床路径履行流程的病例，均作为变异情况，退出本路径。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1.患者在认知与知情同意/签名时不同意者，或因患者及其家属意愿而影响本路径执行者。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2.病情加重，需要延长住院时间，增加住院费用。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3.合并有严重心脑血管疾病、内分泌疾病等其他系统疾病者，住院期间病情加重，需要特殊处理，导致住院时间延长、费用增加。</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4.治疗过程中发生了病情变化，出现严重并发症时，退出本路径。</w:t>
      </w:r>
    </w:p>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cs="Times New Roman"/>
          <w:color w:val="auto"/>
        </w:rPr>
        <w:t>二、混合痔中医临床路径住院表单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适用对象：第一诊断为混合痔（TCD编码：A08.03.01.03；ICD-10编码：K64.811）</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患者姓名：</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性别：</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年龄：</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门诊号：</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住院号：</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住院日期：</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年</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月</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日  出院日期：</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年</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月</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5天≤标准住院日≤10天                实际住院日：</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20"/>
          <w:szCs w:val="20"/>
        </w:rPr>
        <w:t xml:space="preserve">天 </w:t>
      </w:r>
    </w:p>
    <w:tbl>
      <w:tblPr>
        <w:tblStyle w:val="9"/>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
        <w:gridCol w:w="600"/>
        <w:gridCol w:w="80"/>
        <w:gridCol w:w="2738"/>
        <w:gridCol w:w="196"/>
        <w:gridCol w:w="2675"/>
        <w:gridCol w:w="30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601"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时间</w:t>
            </w:r>
          </w:p>
        </w:tc>
        <w:tc>
          <w:tcPr>
            <w:tcW w:w="1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20"/>
                <w:szCs w:val="20"/>
                <w:u w:val="single"/>
              </w:rPr>
              <w:t xml:space="preserve"> </w:t>
            </w:r>
            <w:r>
              <w:rPr>
                <w:rFonts w:hint="eastAsia" w:ascii="Times New Roman" w:hAnsi="Times New Roman" w:eastAsia="方正书宋简体" w:cs="Times New Roman"/>
                <w:color w:val="auto"/>
                <w:sz w:val="20"/>
                <w:szCs w:val="20"/>
                <w:u w:val="single"/>
                <w:lang w:val="en-US" w:eastAsia="zh-CN"/>
              </w:rPr>
              <w:t xml:space="preserve"> </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（第1天）</w:t>
            </w:r>
          </w:p>
        </w:tc>
        <w:tc>
          <w:tcPr>
            <w:tcW w:w="1779" w:type="pct"/>
            <w:gridSpan w:val="3"/>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20"/>
                <w:szCs w:val="20"/>
                <w:u w:val="single"/>
              </w:rPr>
              <w:t xml:space="preserve"> </w:t>
            </w:r>
            <w:r>
              <w:rPr>
                <w:rFonts w:hint="eastAsia" w:ascii="Times New Roman" w:hAnsi="Times New Roman" w:eastAsia="方正书宋简体" w:cs="Times New Roman"/>
                <w:color w:val="auto"/>
                <w:sz w:val="20"/>
                <w:szCs w:val="20"/>
                <w:u w:val="single"/>
                <w:lang w:val="en-US" w:eastAsia="zh-CN"/>
              </w:rPr>
              <w:t xml:space="preserve"> </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（第2天）</w:t>
            </w:r>
          </w:p>
        </w:tc>
        <w:tc>
          <w:tcPr>
            <w:tcW w:w="1246" w:type="pct"/>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20"/>
                <w:szCs w:val="20"/>
                <w:u w:val="single"/>
              </w:rPr>
              <w:t xml:space="preserve"> </w:t>
            </w:r>
            <w:r>
              <w:rPr>
                <w:rFonts w:hint="eastAsia" w:ascii="Times New Roman" w:hAnsi="Times New Roman" w:eastAsia="方正书宋简体" w:cs="Times New Roman"/>
                <w:color w:val="auto"/>
                <w:sz w:val="20"/>
                <w:szCs w:val="20"/>
                <w:u w:val="single"/>
                <w:lang w:val="en-US" w:eastAsia="zh-CN"/>
              </w:rPr>
              <w:t xml:space="preserve"> </w:t>
            </w:r>
            <w:r>
              <w:rPr>
                <w:rFonts w:hint="default" w:ascii="Times New Roman" w:hAnsi="Times New Roman" w:eastAsia="方正书宋简体" w:cs="Times New Roman"/>
                <w:color w:val="auto"/>
                <w:sz w:val="20"/>
                <w:szCs w:val="20"/>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（第3日，手术日）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218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诊</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疗</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作</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询问病史、体格检查</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开出各项检查单</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采集中医四诊信息</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进行中医证候判断</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完成病历书写和病程记录</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初步拟定诊疗方案</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与家属沟通，交代病情及注意事项</w:t>
            </w: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实施各项检查</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完成上级医师查房记录，完成术前评估，确定手术方案</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向家属交代病情和手术事项</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签署“手术知情同意书”</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下达手术医嘱、提交手术通知单</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麻醉医生查看病人，签署“麻醉知情同意书”</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完成术前小结</w:t>
            </w: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完成手术治疗</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24小时内完成手术记录</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完成术后首次病程记录</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观察术后生命体征及创面渗血情况</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了解术后首次排尿情况，必要时留置导尿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268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重</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点</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嘱</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肛肠科护理常规</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对症治疗（必要时）</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三大常规+粪便隐血</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乙肝三对、丙肝、艾滋病、梅毒</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肝功能、肾功能、电解质、血脂常规、血糖</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心电图、胸部X线片</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腹部彩超、直肠腔内超声</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必要时选做电子肠镜、盆腔及肛门CT、MRI、排粪造影等</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对症处理</w:t>
            </w: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肛肠科护理常规</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对症治疗</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术前医嘱</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术前饮食</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术区备皮</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术前肠道准备</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对症处理</w:t>
            </w: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半流饮食（连硬外麻或腰麻或骶麻禁食6小时后进半流饮食/普食）</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预防感染、疼痛、出血 </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病理检查</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215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护</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理</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作</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入院介绍</w:t>
            </w: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入院健康教育</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pacing w:val="-11"/>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pacing w:val="-11"/>
                <w:sz w:val="18"/>
                <w:szCs w:val="18"/>
              </w:rPr>
              <w:t>介绍入院各项检查前注意事项</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按照医嘱执行诊疗护理措施</w:t>
            </w: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完成入院检查的护理操作</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根据医嘱执行各项术前准备</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完成常规生命体征的监测</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交代术前注意事项</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术前中医情志疏导、健康教育、饮食指导</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晨晚间护理、夜间巡视</w:t>
            </w: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交接病人，检查生命体征及用药情况</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随时观察患者情况</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指导术后饮食</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协助安全下床</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告知注意事项</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指导术后首次排尿</w:t>
            </w:r>
          </w:p>
          <w:p>
            <w:pPr>
              <w:keepNext w:val="0"/>
              <w:keepLines w:val="0"/>
              <w:pageBreakBefore w:val="0"/>
              <w:widowControl w:val="0"/>
              <w:kinsoku/>
              <w:wordWrap/>
              <w:overflowPunct/>
              <w:topLinePunct w:val="0"/>
              <w:autoSpaceDE/>
              <w:autoSpaceDN/>
              <w:bidi w:val="0"/>
              <w:adjustRightInd/>
              <w:snapToGrid/>
              <w:spacing w:line="240" w:lineRule="exact"/>
              <w:ind w:left="180" w:leftChars="0" w:right="-63" w:rightChars="-3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晨晚间护理、夜间巡视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79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病情</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变异</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记录</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79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责任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护士</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签名</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7" w:type="pct"/>
          <w:trHeight w:val="794" w:hRule="atLeast"/>
          <w:jc w:val="center"/>
        </w:trPr>
        <w:tc>
          <w:tcPr>
            <w:tcW w:w="33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医师</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签名</w:t>
            </w:r>
          </w:p>
        </w:tc>
        <w:tc>
          <w:tcPr>
            <w:tcW w:w="1579" w:type="pct"/>
            <w:gridSpan w:val="2"/>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c>
          <w:tcPr>
            <w:tcW w:w="1779" w:type="pct"/>
            <w:gridSpan w:val="3"/>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c>
          <w:tcPr>
            <w:tcW w:w="1246" w:type="pct"/>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方正书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时间</w:t>
            </w:r>
          </w:p>
        </w:tc>
        <w:tc>
          <w:tcPr>
            <w:tcW w:w="164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 xml:space="preserve"> </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（第4日，术后第1日）</w:t>
            </w:r>
          </w:p>
        </w:tc>
        <w:tc>
          <w:tcPr>
            <w:tcW w:w="1499" w:type="pc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 xml:space="preserve"> </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（第5-9日，术后第2-6日）</w:t>
            </w:r>
          </w:p>
        </w:tc>
        <w:tc>
          <w:tcPr>
            <w:tcW w:w="141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 xml:space="preserve"> </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年</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月</w:t>
            </w:r>
            <w:r>
              <w:rPr>
                <w:rFonts w:hint="default" w:ascii="Times New Roman" w:hAnsi="Times New Roman" w:eastAsia="方正书宋简体" w:cs="Times New Roman"/>
                <w:color w:val="auto"/>
                <w:sz w:val="18"/>
                <w:szCs w:val="18"/>
                <w:u w:val="single"/>
              </w:rPr>
              <w:t xml:space="preserve">    </w:t>
            </w:r>
            <w:r>
              <w:rPr>
                <w:rFonts w:hint="default" w:ascii="Times New Roman" w:hAnsi="Times New Roman" w:eastAsia="方正书宋简体" w:cs="Times New Roman"/>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（第10日，出院日）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作</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医师查房，观察术后局部情况</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询问排便情况</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术后混合痔专科换药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中药熏洗坐浴</w:t>
            </w: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上级医师查房，观察局部情况</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观察手术结扎线脱落情况</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术后换药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理疗</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疗效评估，确定出院时间。</w:t>
            </w: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ind w:left="138" w:leftChars="-20" w:right="-42" w:rightChars="-2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向患者交代出院注意事项、复查日期</w:t>
            </w:r>
          </w:p>
          <w:p>
            <w:pPr>
              <w:keepNext w:val="0"/>
              <w:keepLines w:val="0"/>
              <w:pageBreakBefore w:val="0"/>
              <w:widowControl w:val="0"/>
              <w:kinsoku/>
              <w:wordWrap/>
              <w:overflowPunct/>
              <w:topLinePunct w:val="0"/>
              <w:autoSpaceDE/>
              <w:autoSpaceDN/>
              <w:bidi w:val="0"/>
              <w:adjustRightInd/>
              <w:snapToGrid/>
              <w:spacing w:line="240" w:lineRule="exact"/>
              <w:ind w:left="138" w:leftChars="-20" w:right="-42" w:rightChars="-2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指导患者出院后功能锻炼、预防常识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通知住院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嘱</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半流质饮食\普食</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预防感染、止血</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混合痔专科换药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辨证使用中成药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中医辨证施护</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对症处理</w:t>
            </w: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预防感染、止血</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混合痔专科换药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辨证使用中药汤剂或中成药</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中医辨证施护</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复查相关检查</w:t>
            </w: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主要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护理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工作</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晨晚间护理、夜间巡视</w:t>
            </w: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晨晚间护理、夜间巡视</w:t>
            </w: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ind w:left="138" w:leftChars="-20" w:right="-42" w:rightChars="-20"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交代出院后注意事项，进行术后卫生宣教</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指导出院带药的用法</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hanging="180" w:hangingChars="100"/>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送病人出院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病情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变异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记录</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eastAsia" w:ascii="Times New Roman" w:hAnsi="Times New Roman" w:eastAsia="方正书宋简体" w:cs="Times New Roman"/>
                <w:color w:val="auto"/>
                <w:sz w:val="18"/>
                <w:szCs w:val="18"/>
                <w:lang w:eastAsia="zh-CN"/>
              </w:rPr>
              <w:t>□</w:t>
            </w:r>
            <w:r>
              <w:rPr>
                <w:rFonts w:hint="default" w:ascii="Times New Roman" w:hAnsi="Times New Roman" w:eastAsia="方正书宋简体" w:cs="Times New Roman"/>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护士</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签名</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8"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医师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书宋简体" w:cs="Times New Roman"/>
                <w:color w:val="auto"/>
                <w:sz w:val="18"/>
                <w:szCs w:val="18"/>
              </w:rPr>
            </w:pPr>
            <w:r>
              <w:rPr>
                <w:rFonts w:hint="default" w:ascii="Times New Roman" w:hAnsi="Times New Roman" w:eastAsia="方正书宋简体" w:cs="Times New Roman"/>
                <w:color w:val="auto"/>
                <w:sz w:val="18"/>
                <w:szCs w:val="18"/>
              </w:rPr>
              <w:t>签名</w:t>
            </w:r>
          </w:p>
        </w:tc>
        <w:tc>
          <w:tcPr>
            <w:tcW w:w="1644"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c>
          <w:tcPr>
            <w:tcW w:w="1499"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c>
          <w:tcPr>
            <w:tcW w:w="1417" w:type="pct"/>
            <w:gridSpan w:val="2"/>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书宋简体" w:cs="Times New Roman"/>
                <w:color w:val="auto"/>
                <w:sz w:val="18"/>
                <w:szCs w:val="18"/>
              </w:rPr>
            </w:pPr>
          </w:p>
        </w:tc>
      </w:tr>
    </w:tbl>
    <w:p>
      <w:pPr>
        <w:keepNext w:val="0"/>
        <w:keepLines w:val="0"/>
        <w:pageBreakBefore w:val="0"/>
        <w:kinsoku/>
        <w:wordWrap/>
        <w:topLinePunct w:val="0"/>
        <w:autoSpaceDE/>
        <w:autoSpaceDN/>
        <w:bidi w:val="0"/>
        <w:spacing w:line="592" w:lineRule="exact"/>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肛漏（高位肛瘘/复杂性肛瘘）中医临床路径</w:t>
      </w:r>
    </w:p>
    <w:p>
      <w:pPr>
        <w:keepNext w:val="0"/>
        <w:keepLines w:val="0"/>
        <w:pageBreakBefore w:val="0"/>
        <w:kinsoku/>
        <w:wordWrap/>
        <w:topLinePunct w:val="0"/>
        <w:autoSpaceDE/>
        <w:autoSpaceDN/>
        <w:bidi w:val="0"/>
        <w:spacing w:line="592" w:lineRule="exact"/>
        <w:jc w:val="both"/>
        <w:rPr>
          <w:rFonts w:hint="default" w:ascii="Times New Roman" w:hAnsi="Times New Roman" w:eastAsia="方正小标宋_GBK"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路径说明：本路径适合于西医诊断为肛瘘，有手术适应症的患者。</w:t>
      </w:r>
    </w:p>
    <w:p>
      <w:pPr>
        <w:pStyle w:val="27"/>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一、肛漏（肛瘘）中医临床路径标准住院流程</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中医诊断：第一诊断为肛漏（TCD编码：A08.03.06）。</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西医诊断：第一诊断为高位肛瘘（ICD-10编码：K60.301）或复杂性肛瘘（ICD-10编码：K60.303）。行高位复杂肛瘘挂线治疗（17.98124）。</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（二）诊断依据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疾病诊断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001.7-94）、国家中医药管理局“十一五”重点专科肛肠协作组肛瘘诊疗方案、全国中医药行业高等教育“十三五”创新教材《中医肛肠病学》（何永恒、凌光烈主编，中国中医药出版社，2019年）有关内容。</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本病临床症状肛周硬结，局部反复破溃流脓，局部可伴有红、肿、热、痛，可伴肛周潮湿、瘙痒等。本病多系肛痈成脓自溃或切开后所遗留的腔道，多有肛痈病史，病灶有外口、管道、内口可征。根据肛漏的症状体征，结合直肠腔内超声或三维直肠彩超、CT或MRI即可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西医诊断标准：参照2020年中国医师协会肛肠医师分会临床指南工作委员会制定的“肛瘘诊断标准”。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2.疾病分类</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参照2020年中国医师协会肛肠医师分会临床指南工作委员会、2020年北京肛肠学会专家共识审定委员会的相关内容：</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肛瘘的临床分类取决于瘘管与肛门括约肌的关系及内口和瘘管的多少，以外括约肌深部为界，瘘管涉及外括约肌深部及以上的为高位肛瘘；有两个或两个以上瘘管或内外口的称为复杂性肛瘘。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参照“国家中医药管理局‘十一五’重点专科协作组肛漏病（肛瘘）诊疗方案”。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肛漏病（肛瘘）临床常见证候：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1.湿热下注证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2.正虚邪恋证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3.阴液亏虚证</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参照“国家中医药管理局‘十一五’重点专科协作组肛漏（肛瘘）诊疗方案”。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诊断明确，第一诊断为肛漏（高位肛瘘/复杂性肛瘘）。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无禁忌症，排除结核性、炎症性肠病性肛瘘。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Style w:val="30"/>
          <w:rFonts w:hint="default" w:ascii="Times New Roman" w:hAnsi="Times New Roman" w:cs="Times New Roman"/>
          <w:color w:val="auto"/>
        </w:rPr>
        <w:t>（四）标准住院日为：</w:t>
      </w:r>
      <w:r>
        <w:rPr>
          <w:rFonts w:hint="default" w:ascii="Times New Roman" w:hAnsi="Times New Roman" w:eastAsia="仿宋_GB2312" w:cs="Times New Roman"/>
          <w:color w:val="auto"/>
          <w:sz w:val="32"/>
        </w:rPr>
        <w:t>10天≤住院日≤21天。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第一诊断必须符合肛漏（TCD编码：A08.03.06），高位肛瘘（ICD-10编码：K60.301）或复杂性肛瘘（ICD-10编码：K60.303）的患者。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无手术禁忌证，主手术操作为高位复杂肛瘘挂线治疗（17.98124）。</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患者同意接受手术。</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四诊合参，收集该病种不同证候的主症、次证、舌、脉特点。注意证侯的动态变化。</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（1）血常规、尿常规、大便常规＋隐血试验。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（2）血型、肝功能、肾功能、血脂、血糖、电解质、C反应蛋白、红细胞沉降率、凝血功能。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（3）乙肝三对、丙型肝炎抗体、血清梅毒抗体、艾滋病抗体检查。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（4）胸部X线片、肛门MRI或CT、或瘘道造影。</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（6）肝胆脾胰泌尿系彩超、直肠腔内超声或三维直肠彩超。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（7）电子肛门镜检查或肛肠科常规检查（含直肠指诊、肛门镜检查）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2.可选择的检查项目：根据病情需要而定，如电子结肠镜或乙状结肠镜检查、排粪造影、肛门直肠测压、降钙素原检测等。</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1.辨证选择口服中药汤剂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（1）湿热下注证：清热利湿；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（2）正虚邪恋证：扶正祛邪；</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（3）阴液亏虚证：养阴托毒。</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2.外治法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（1）中药熏洗法：选具有清热利湿、清热解毒、消肿止痛、收敛生肌等作用的中药或中成药，熏洗肛门部，或清洁肛门或手术创面，可减轻患者痛苦，提高疗效。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（2）中药外敷法：选用适当的药物和剂型敷于患处，达到消炎止痛，促进局部肿痛消散，祛腐生肌的目的。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（3）冲洗法：将创腔或瘘道中的脓液冲洗干净，并使其引流通畅。冲洗时可将抗生素等药物注入创腔或瘘道，起到控制感染、促进肉芽生长及闭合管腔的作用。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（4）直肠给药：中药保留灌肠，根据各证型选用不同的方药进行直肠给药，或用中药直肠栓剂肛门给药。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3.外用中成药：清热祛湿、理气止痛。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4.特色治疗：根据患者情况选用隔物灸、穴位贴敷治疗、中医定向透药、耳穴压豆等。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5.手术治疗：高位复杂肛瘘挂线治疗（17.98124），可兼其他手术方式。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6.术后切口专科换药。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7.护理：辨证施护。</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（九）抗菌药物选择与使用时机</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1.按《抗菌药物临床应用指导原则》（国卫办医发〔2015〕43号）应用抗菌药物；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2.术前按感染性疾病选择使用抗菌药物；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3.术后视伤口情况合理使用抗菌药物；</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（十）手术日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1.麻醉方式：连硬外麻醉、腰麻或全麻。</w:t>
      </w:r>
    </w:p>
    <w:p>
      <w:pPr>
        <w:keepNext w:val="0"/>
        <w:keepLines w:val="0"/>
        <w:pageBreakBefore w:val="0"/>
        <w:kinsoku/>
        <w:wordWrap/>
        <w:overflowPunct w:val="0"/>
        <w:topLinePunct w:val="0"/>
        <w:autoSpaceDE/>
        <w:autoSpaceDN/>
        <w:bidi w:val="0"/>
        <w:spacing w:line="592" w:lineRule="exact"/>
        <w:ind w:firstLine="596" w:firstLineChars="200"/>
        <w:jc w:val="both"/>
        <w:rPr>
          <w:rFonts w:hint="default" w:ascii="Times New Roman" w:hAnsi="Times New Roman" w:eastAsia="仿宋_GB2312" w:cs="Times New Roman"/>
          <w:color w:val="auto"/>
          <w:spacing w:val="-11"/>
          <w:sz w:val="32"/>
        </w:rPr>
      </w:pPr>
      <w:r>
        <w:rPr>
          <w:rFonts w:hint="default" w:ascii="Times New Roman" w:hAnsi="Times New Roman" w:eastAsia="仿宋_GB2312" w:cs="Times New Roman"/>
          <w:color w:val="auto"/>
          <w:spacing w:val="-11"/>
          <w:sz w:val="32"/>
        </w:rPr>
        <w:t>2.手术方式：高位复杂性肛瘘挂线治疗，可兼有肛瘘切除术/肛门直肠周围窦道搔刮术/肛周皮下神经组织美兰注射神经阻滞术。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3.必要时予以止痛措施。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4.病理：术后标本送病理检查，术后脓液送细菌培养+药敏。</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（十一）出院标准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1．橡皮筋脱落，引流管及橡皮膜拆除，疼痛轻或可耐受。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2．患者无发热，创面无渗出，无水肿。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3．大便基本正常，无便血或便血量少。</w:t>
      </w:r>
    </w:p>
    <w:p>
      <w:pPr>
        <w:pStyle w:val="28"/>
        <w:keepNext w:val="0"/>
        <w:keepLines w:val="0"/>
        <w:pageBreakBefore w:val="0"/>
        <w:wordWrap/>
        <w:topLinePunct w:val="0"/>
        <w:autoSpaceDE/>
        <w:autoSpaceDN/>
        <w:bidi w:val="0"/>
        <w:rPr>
          <w:rFonts w:hint="default" w:ascii="Times New Roman" w:hAnsi="Times New Roman" w:cs="Times New Roman"/>
          <w:color w:val="auto"/>
        </w:rPr>
      </w:pPr>
      <w:r>
        <w:rPr>
          <w:rFonts w:hint="default" w:ascii="Times New Roman" w:hAnsi="Times New Roman" w:cs="Times New Roman"/>
          <w:color w:val="auto"/>
        </w:rPr>
        <w:t>（十二）有无变异及原因分析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1．病情加重，需要延长住院时间，增加住院费用。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2．合并有严重心脑血管疾病、内分泌疾病等其他系统疾病者，住院期间病情加重，需要特殊处理，导致住院时间延长、费用增加。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3．治疗过程中发生了病情变化，出现严重并发症时，退出本路径。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24"/>
        </w:rPr>
      </w:pPr>
      <w:r>
        <w:rPr>
          <w:rFonts w:hint="default" w:ascii="Times New Roman" w:hAnsi="Times New Roman" w:eastAsia="仿宋_GB2312" w:cs="Times New Roman"/>
          <w:color w:val="auto"/>
          <w:sz w:val="32"/>
        </w:rPr>
        <w:br w:type="page"/>
      </w:r>
      <w:r>
        <w:rPr>
          <w:rStyle w:val="31"/>
          <w:rFonts w:hint="default" w:ascii="Times New Roman" w:hAnsi="Times New Roman" w:cs="Times New Roman"/>
          <w:color w:val="auto"/>
        </w:rPr>
        <w:t>二、肛漏（高位肛瘘/复杂性肛瘘）中医临床路径住院表单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ind w:left="1000" w:hanging="1000" w:hangingChars="50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 xml:space="preserve">适用对象：第一诊断为肛漏（高位肛瘘/复杂性肛瘘）（TCD编码：A08.03.06，ICD-10编码：K60.301、K60.303）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10天≤标准住院日≤21天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天 </w:t>
      </w:r>
    </w:p>
    <w:tbl>
      <w:tblPr>
        <w:tblStyle w:val="9"/>
        <w:tblpPr w:leftFromText="180" w:rightFromText="180" w:vertAnchor="text" w:horzAnchor="page" w:tblpXSpec="center" w:tblpY="37"/>
        <w:tblW w:w="4895" w:type="pct"/>
        <w:tblInd w:w="1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42"/>
        <w:gridCol w:w="3078"/>
        <w:gridCol w:w="3136"/>
        <w:gridCol w:w="21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时间</w:t>
            </w:r>
          </w:p>
        </w:tc>
        <w:tc>
          <w:tcPr>
            <w:tcW w:w="1734" w:type="pct"/>
            <w:vAlign w:val="top"/>
          </w:tcPr>
          <w:p>
            <w:pPr>
              <w:keepNext w:val="0"/>
              <w:keepLines w:val="0"/>
              <w:pageBreakBefore w:val="0"/>
              <w:widowControl w:val="0"/>
              <w:kinsoku/>
              <w:wordWrap/>
              <w:overflowPunct/>
              <w:topLinePunct w:val="0"/>
              <w:autoSpaceDE/>
              <w:autoSpaceDN/>
              <w:bidi w:val="0"/>
              <w:adjustRightInd/>
              <w:snapToGrid/>
              <w:spacing w:line="240" w:lineRule="exact"/>
              <w:ind w:firstLine="270" w:firstLineChars="15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（第1天）</w:t>
            </w:r>
          </w:p>
        </w:tc>
        <w:tc>
          <w:tcPr>
            <w:tcW w:w="1767" w:type="pct"/>
            <w:vAlign w:val="top"/>
          </w:tcPr>
          <w:p>
            <w:pPr>
              <w:keepNext w:val="0"/>
              <w:keepLines w:val="0"/>
              <w:pageBreakBefore w:val="0"/>
              <w:widowControl w:val="0"/>
              <w:kinsoku/>
              <w:wordWrap/>
              <w:overflowPunct/>
              <w:topLinePunct w:val="0"/>
              <w:autoSpaceDE/>
              <w:autoSpaceDN/>
              <w:bidi w:val="0"/>
              <w:adjustRightInd/>
              <w:snapToGrid/>
              <w:spacing w:line="240" w:lineRule="exact"/>
              <w:ind w:firstLine="450" w:firstLineChars="25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（第2天）</w:t>
            </w:r>
          </w:p>
        </w:tc>
        <w:tc>
          <w:tcPr>
            <w:tcW w:w="1191" w:type="pct"/>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（第3天，手术日）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诊</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73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询问病史、体格检查</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开出各项检查单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采集中医四诊信息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进行中医证候判断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□完成病历书写和病程记录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初步拟定诊疗方案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□与家属沟通，交代病情及注意事项</w:t>
            </w:r>
          </w:p>
        </w:tc>
        <w:tc>
          <w:tcPr>
            <w:tcW w:w="1767"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□实施各项实验室检查和影像学检查</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□完成上级医师查房记录，完成术前评估，确定手术方案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□向家属交代病情和手术事项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□签署“手术知情同意书”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□下达手术医嘱、提交手术通知单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□麻醉医生查看病人，签署“麻醉知情同意书”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□完成术前小结</w:t>
            </w:r>
          </w:p>
        </w:tc>
        <w:tc>
          <w:tcPr>
            <w:tcW w:w="11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□完成手术治疗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pacing w:val="-6"/>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24小时内完成手术记录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完成术后首次病程记录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□观察术后生命体征及创面渗血情况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□了解术后首次排尿情况，必要时留置导尿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点</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嘱</w:t>
            </w:r>
          </w:p>
        </w:tc>
        <w:tc>
          <w:tcPr>
            <w:tcW w:w="173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□肛肠科护理常规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□普食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□对症治疗（必要时）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□血常规、尿常规、大便常规+OB</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□凝血功能、血型、CRP、ESR</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□乙肝三对、丙肝、艾滋病、梅毒</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□肝功能、肾功能、血糖、电解质</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□（电子）肛门镜、肛门指诊</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□肛肠直肠测压</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□心电图 、腹部彩超、三维直肠彩超、肠镜</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□胸部X线片、MRI、瘘道造影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tc>
        <w:tc>
          <w:tcPr>
            <w:tcW w:w="1767"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□肛肠科护理常规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□普食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□术区备皮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□术前肠道准备</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tc>
        <w:tc>
          <w:tcPr>
            <w:tcW w:w="11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□半流饮食（腰麻或骶麻后禁食6小时后进半流质饮食/普食）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抗感染 、止血、止痛</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□辨证使用中成药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□病理检查</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主要</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护理</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工作</w:t>
            </w:r>
          </w:p>
        </w:tc>
        <w:tc>
          <w:tcPr>
            <w:tcW w:w="173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□介绍入院各项检查前注意事项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1767"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□完成各项入院检查的护理操作</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□根据医嘱执行各项术前准备</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□完成常规生命体征的监测</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□交代术前注意事项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□术前中医情志疏导、健康教育、饮食指导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1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□交接病人，检查生命体征及用药情况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□随时观察患者情况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□指导术后饮食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□协助安全下床</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□告知注意事项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□指导术后首次排尿</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病情</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变异</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记录</w:t>
            </w:r>
          </w:p>
        </w:tc>
        <w:tc>
          <w:tcPr>
            <w:tcW w:w="1734" w:type="pct"/>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767" w:type="pct"/>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191" w:type="pct"/>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责任</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护士</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734"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767"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191"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06"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w:t>
            </w:r>
          </w:p>
          <w:p>
            <w:pPr>
              <w:keepNext w:val="0"/>
              <w:keepLines w:val="0"/>
              <w:pageBreakBefore w:val="0"/>
              <w:widowControl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734"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767"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191"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r>
    </w:tbl>
    <w:tbl>
      <w:tblPr>
        <w:tblStyle w:val="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1"/>
        <w:gridCol w:w="2162"/>
        <w:gridCol w:w="2162"/>
        <w:gridCol w:w="2203"/>
        <w:gridCol w:w="19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时间</w:t>
            </w:r>
          </w:p>
        </w:tc>
        <w:tc>
          <w:tcPr>
            <w:tcW w:w="119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日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（第4天，术后第1天）</w:t>
            </w:r>
          </w:p>
        </w:tc>
        <w:tc>
          <w:tcPr>
            <w:tcW w:w="119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（第5天，术后第2天）</w:t>
            </w:r>
          </w:p>
        </w:tc>
        <w:tc>
          <w:tcPr>
            <w:tcW w:w="121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（第6-20天，术后第3-17天）</w:t>
            </w:r>
          </w:p>
        </w:tc>
        <w:tc>
          <w:tcPr>
            <w:tcW w:w="105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（第21日，出院日）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诊</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□上级医师查房，指导术后治疗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□观察术后局部情况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□医师查房，观察术后局部情况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□询问排便情况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□上级医师查房，观察局部情况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□观察橡皮筋情况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□根据伤口情况，适时紧线</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□疗效评估，确定出院时间。</w:t>
            </w: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□向患者交代出院注意事项、复查日期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□指导患者出院后功能锻炼、预防常识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□通知出院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嘱</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□半流质饮食\普食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抗感染 、止血</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抗感染 、止血</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抗感染 、止血</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中医特色治疗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□辨证使用中药汤剂或中成药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□复查血常规、CRP、ESR</w:t>
            </w: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□观察患者创面渗血及排便情况</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□交代出院后注意事项，进行术后卫生宣教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□指导出院带药的用法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病情变异</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记录</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□无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□有，原因：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责任护士</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4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19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216"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c>
          <w:tcPr>
            <w:tcW w:w="1053" w:type="pct"/>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书宋简体" w:hAnsi="方正书宋简体" w:eastAsia="方正书宋简体" w:cs="方正书宋简体"/>
                <w:color w:val="auto"/>
                <w:sz w:val="18"/>
                <w:szCs w:val="18"/>
              </w:rPr>
            </w:pPr>
          </w:p>
        </w:tc>
      </w:tr>
    </w:tbl>
    <w:p>
      <w:pPr>
        <w:keepNext w:val="0"/>
        <w:keepLines w:val="0"/>
        <w:pageBreakBefore w:val="0"/>
        <w:kinsoku/>
        <w:wordWrap/>
        <w:topLinePunct w:val="0"/>
        <w:autoSpaceDE/>
        <w:autoSpaceDN/>
        <w:bidi w:val="0"/>
        <w:spacing w:line="592" w:lineRule="exact"/>
        <w:ind w:left="0" w:leftChars="0" w:right="0" w:rightChars="0" w:firstLine="0" w:firstLineChars="0"/>
        <w:jc w:val="center"/>
        <w:outlineLvl w:val="1"/>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脱肛（直肠脱垂）中医临床路径</w:t>
      </w:r>
    </w:p>
    <w:p>
      <w:pPr>
        <w:keepNext w:val="0"/>
        <w:keepLines w:val="0"/>
        <w:pageBreakBefore w:val="0"/>
        <w:kinsoku/>
        <w:wordWrap/>
        <w:topLinePunct w:val="0"/>
        <w:autoSpaceDE/>
        <w:autoSpaceDN/>
        <w:bidi w:val="0"/>
        <w:spacing w:line="592" w:lineRule="exact"/>
        <w:jc w:val="both"/>
        <w:rPr>
          <w:rFonts w:hint="default" w:ascii="Times New Roman" w:hAnsi="Times New Roman" w:eastAsia="方正小标宋_GBK" w:cs="Times New Roman"/>
          <w:color w:val="auto"/>
          <w:sz w:val="36"/>
          <w:szCs w:val="36"/>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路径说明：本路径适合于西医诊断为直肠脱垂，有直肠脱垂注射术适应症的患者。</w:t>
      </w:r>
    </w:p>
    <w:p>
      <w:pPr>
        <w:keepNext w:val="0"/>
        <w:keepLines w:val="0"/>
        <w:pageBreakBefore w:val="0"/>
        <w:widowControl w:val="0"/>
        <w:kinsoku/>
        <w:wordWrap/>
        <w:overflowPunct w:val="0"/>
        <w:topLinePunct w:val="0"/>
        <w:autoSpaceDE/>
        <w:autoSpaceDN/>
        <w:bidi w:val="0"/>
        <w:adjustRightInd/>
        <w:snapToGrid/>
        <w:spacing w:line="592" w:lineRule="exact"/>
        <w:ind w:firstLine="480" w:firstLineChars="200"/>
        <w:jc w:val="both"/>
        <w:textAlignment w:val="auto"/>
        <w:rPr>
          <w:rFonts w:hint="default" w:ascii="Times New Roman" w:hAnsi="Times New Roman" w:eastAsia="黑体" w:cs="Times New Roman"/>
          <w:bCs/>
          <w:color w:val="auto"/>
          <w:sz w:val="24"/>
        </w:rPr>
      </w:pPr>
      <w:r>
        <w:rPr>
          <w:rFonts w:hint="default" w:ascii="Times New Roman" w:hAnsi="Times New Roman" w:eastAsia="黑体" w:cs="Times New Roman"/>
          <w:bCs/>
          <w:color w:val="auto"/>
          <w:sz w:val="24"/>
        </w:rPr>
        <w:t>一、脱肛（直肠脱垂）中医临床路径标准住院流程</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color w:val="auto"/>
        </w:rPr>
      </w:pPr>
      <w:r>
        <w:rPr>
          <w:rFonts w:hint="default"/>
          <w:color w:val="auto"/>
        </w:rPr>
        <w:t>（一）适用对象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中医诊断：第一诊断为脱肛病（TCD编码：A08.03.07）。</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西医诊断：第一诊断为直肠脱垂</w:t>
      </w:r>
      <w:bookmarkStart w:id="0" w:name="_Hlk133189910"/>
      <w:r>
        <w:rPr>
          <w:rFonts w:hint="default" w:ascii="Times New Roman" w:hAnsi="Times New Roman" w:eastAsia="仿宋_GB2312" w:cs="Times New Roman"/>
          <w:color w:val="auto"/>
          <w:sz w:val="32"/>
        </w:rPr>
        <w:t>（ICD-10编码：K62.300）</w:t>
      </w:r>
      <w:bookmarkEnd w:id="0"/>
      <w:r>
        <w:rPr>
          <w:rFonts w:hint="default" w:ascii="Times New Roman" w:hAnsi="Times New Roman" w:eastAsia="仿宋_GB2312" w:cs="Times New Roman"/>
          <w:color w:val="auto"/>
          <w:sz w:val="32"/>
        </w:rPr>
        <w:t>，行直肠脱垂注射治疗（17.98510）。</w:t>
      </w:r>
    </w:p>
    <w:p>
      <w:pPr>
        <w:pStyle w:val="28"/>
        <w:keepNext w:val="0"/>
        <w:keepLines w:val="0"/>
        <w:pageBreakBefore w:val="0"/>
        <w:widowControl w:val="0"/>
        <w:kinsoku/>
        <w:wordWrap/>
        <w:overflowPunct w:val="0"/>
        <w:topLinePunct w:val="0"/>
        <w:autoSpaceDE/>
        <w:autoSpaceDN/>
        <w:bidi w:val="0"/>
        <w:adjustRightInd/>
        <w:snapToGrid/>
        <w:textAlignment w:val="auto"/>
        <w:rPr>
          <w:rFonts w:hint="default"/>
          <w:color w:val="auto"/>
        </w:rPr>
      </w:pPr>
      <w:r>
        <w:rPr>
          <w:rFonts w:hint="default"/>
          <w:color w:val="auto"/>
        </w:rPr>
        <w:t>（二）诊断依据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疾病诊断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（1）中医诊断标准：参照中华中医药学会肛肠分会制定的脱肛病诊断标准（2002年版）、全国中医药行业高等教育“十三五”创新教材《中医肛肠病学》（何永恒、凌光烈主编，中国中医药出版社，2019年）。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中国医师协会肛肠医师分会、中国医师协会肛肠医师分会盆底外科专业委员会、中国医师协会肛肠医师分会临床指南工作委员会联合制定的《直肠脱垂外科诊治中国专家共识（2022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证候诊断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参照国家中医药管理局印发的“脱肛病（直肠脱垂）中医诊疗方案（2021年版）”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脱肛病（直肠脱垂）临床常见证候：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气虚下陷证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肾气不固证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气血两虚证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湿热下注证</w:t>
      </w:r>
    </w:p>
    <w:p>
      <w:pPr>
        <w:pStyle w:val="28"/>
        <w:bidi w:val="0"/>
        <w:rPr>
          <w:rFonts w:hint="default"/>
          <w:color w:val="auto"/>
        </w:rPr>
      </w:pPr>
      <w:r>
        <w:rPr>
          <w:rFonts w:hint="default"/>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参照国家中医药管理局印发的“脱肛病（直肠脱垂）中医诊疗方案（2021年版）”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1.诊断明确，第一诊断为脱肛病（直肠脱垂）。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2.患者适合并接受中医临床路径方案。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Style w:val="30"/>
          <w:rFonts w:hint="default"/>
          <w:color w:val="auto"/>
        </w:rPr>
        <w:t>（四）标准住院日：</w:t>
      </w:r>
      <w:r>
        <w:rPr>
          <w:rFonts w:hint="default" w:ascii="Times New Roman" w:hAnsi="Times New Roman" w:eastAsia="仿宋_GB2312" w:cs="Times New Roman"/>
          <w:color w:val="auto"/>
          <w:sz w:val="32"/>
        </w:rPr>
        <w:t>10天≤住院日≤14天。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第一诊断必须符合脱肛病（TCD编码：A08.03.07）和直肠脱垂（ICD-10编码：K62.300）的患者。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主手术为直肠脱垂注射术，可兼有肛周常见疾病套扎术（RPH）/经肛吻合器直肠黏膜环切术（PPH）/经肛吻合器直肠切除术（STARR）/肛门成形术等手术方式，无手术禁忌证。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患者同意接受手术。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伴有以下情况患者不进入本路径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（1）肛门周围有急性脓肿。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（2）混合痔伴有痢疾或严重腹泻患者。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（3）严重心肺肝肾疾病或血液病患者。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（4）因腹腔肿瘤或门脉高压引起的混合痔。</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（5）孕妇。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（6）不能配合手术的精神病患者。</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四诊合参，收集该病种不同证候的主症、次证、舌、脉特点。注意证侯的动态变化。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（1）血常规＋血型、尿常规、大便常规＋隐血试验。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（2）肝功能、肾功能、血糖、电解质。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（3）乙肝三对、输血前常规。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（5）胸片、心电图、三维直肠超声、肝胆胰脾双肾输尿管彩超，女性加做妇科B超。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（8）X线排粪造影。</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（9）电子肛门镜，或肛肠科常规检查（含直肠指诊、肛门镜检查）。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（10）肛门直肠测压。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（11）电子结肠镜。</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2.可选择的检查项目：根据病情需要而定，如MRI排粪造影、无痛电子结肠镜、肛直肠肌电测量、血脂、心肌酶谱、血沉、C反应蛋白等。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1.辨证选择口服中药汤剂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（1）气虚下陷证：补中益气，升提固脱</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（2）肾气不固证：健脾益气，补肾固脱</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（3）气血两虚证：益气养血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（4）湿热下注证：清热利湿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2.外治法</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（1）中药外敷或中药塞药法：根据患者病情及创面情况选择。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（2）中药熏洗法：用于手术前后缓解症状，若行肛门成形术则需待拆线后使用。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3.外用中成药：益气养血、补肾固脱、清热祛湿。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4.手术治疗：直肠脱垂注射术，可兼有一种及以上其他手术方式（如肛周常见疾病套扎术（RPH）/经肛吻合器直肠黏膜环切术（PPH）/经肛吻合器直肠切除术（STARR）/肛门成形术）。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5.术后切口专科换药。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6.护理：辨证施护。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7.特色治疗：根据患者情况选用隔物灸、穴位贴敷治疗、中医定向透药、耳穴压豆等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8.术前伴中重度贫血者输血治疗。</w:t>
      </w:r>
    </w:p>
    <w:p>
      <w:pPr>
        <w:pStyle w:val="28"/>
        <w:bidi w:val="0"/>
        <w:rPr>
          <w:rFonts w:hint="default"/>
          <w:color w:val="auto"/>
        </w:rPr>
      </w:pPr>
      <w:r>
        <w:rPr>
          <w:rFonts w:hint="default"/>
          <w:color w:val="auto"/>
        </w:rPr>
        <w:t>（九）手术日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1.麻醉方式：连硬外麻醉、腰麻或全麻。</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2.手术方式：直肠脱垂注射术，可兼有肛周常见疾病套扎术（RPH）/经肛吻合器直肠黏膜环切术（PPH）/经肛吻合器直肠切除术（STARR）/肛门成形术等其他手术方式。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3.必要时输血。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4.病理：术后标本送病理检查。</w:t>
      </w:r>
    </w:p>
    <w:p>
      <w:pPr>
        <w:pStyle w:val="28"/>
        <w:bidi w:val="0"/>
        <w:rPr>
          <w:rFonts w:hint="default"/>
          <w:color w:val="auto"/>
        </w:rPr>
      </w:pPr>
      <w:r>
        <w:rPr>
          <w:rFonts w:hint="default"/>
          <w:color w:val="auto"/>
        </w:rPr>
        <w:t>（十）出院标准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1．病情稳定，主要症状（脱出）消失或有所改善，能正常排便。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2．患者无发热，创面无渗出，无水肿。</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3．肛门无狭窄、功能正常。</w:t>
      </w:r>
    </w:p>
    <w:p>
      <w:pPr>
        <w:keepNext w:val="0"/>
        <w:keepLines w:val="0"/>
        <w:pageBreakBefore w:val="0"/>
        <w:kinsoku/>
        <w:wordWrap/>
        <w:overflowPunct w:val="0"/>
        <w:topLinePunct w:val="0"/>
        <w:autoSpaceDE/>
        <w:autoSpaceDN/>
        <w:bidi w:val="0"/>
        <w:spacing w:line="592" w:lineRule="exact"/>
        <w:ind w:firstLine="643" w:firstLineChars="200"/>
        <w:jc w:val="both"/>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rPr>
        <w:t>（十一）有无变异及原因分析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1．病情加重，需要延长住院时间，增加住院费用。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2．合并有严重心脑血管疾病、内分泌疾病等其他系统疾病者，住院期间病情加重，需要特殊处理，导致住院时间延长、费用增加。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3．治疗过程中发生了病情变化，出现严重并发症时，退出本路径。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4．因患者及其家属意愿而影响本路径执行时，退出本路径。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bCs/>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Cs/>
          <w:color w:val="auto"/>
          <w:sz w:val="32"/>
          <w:szCs w:val="32"/>
        </w:rPr>
        <w:t>二、脱肛（直肠脱垂）中医临床路径住院表单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适用对象：第一诊断为脱肛病（直肠脱垂）（TCD编码：A08.03.07，ICD-10编码：K62.300）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10天≤标准住院日≤14天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天 </w:t>
      </w:r>
    </w:p>
    <w:tbl>
      <w:tblPr>
        <w:tblStyle w:val="9"/>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798"/>
        <w:gridCol w:w="2826"/>
        <w:gridCol w:w="260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时间</w:t>
            </w:r>
          </w:p>
        </w:tc>
        <w:tc>
          <w:tcPr>
            <w:tcW w:w="1576" w:type="pct"/>
            <w:vAlign w:val="top"/>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（第1天）</w:t>
            </w:r>
          </w:p>
        </w:tc>
        <w:tc>
          <w:tcPr>
            <w:tcW w:w="1592" w:type="pct"/>
            <w:vAlign w:val="top"/>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（第2天）</w:t>
            </w:r>
          </w:p>
        </w:tc>
        <w:tc>
          <w:tcPr>
            <w:tcW w:w="1473" w:type="pct"/>
            <w:gridSpan w:val="2"/>
            <w:vAlign w:val="top"/>
          </w:tcPr>
          <w:p>
            <w:pPr>
              <w:keepNext w:val="0"/>
              <w:keepLines w:val="0"/>
              <w:pageBreakBefore w:val="0"/>
              <w:widowControl w:val="0"/>
              <w:kinsoku/>
              <w:wordWrap/>
              <w:overflowPunct/>
              <w:topLinePunct w:val="0"/>
              <w:autoSpaceDE/>
              <w:autoSpaceDN/>
              <w:bidi w:val="0"/>
              <w:adjustRightInd/>
              <w:snapToGrid/>
              <w:spacing w:line="250" w:lineRule="exact"/>
              <w:ind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（第3日，手术日）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诊</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□开出各项检查单</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□采集中医四诊信息</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进行中医证候判断</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□完成病历书写和病程记录</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初步拟定诊疗方案</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与家属沟通 ，交代病情及注意事项</w:t>
            </w: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实施各项检查</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完成上级医师查房记录，完成术前评估，确定手术方案</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□向家属交代病情和手术事项</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□签署“手术知情同意书”</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□下达手术医嘱、提交手术通知单</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□麻醉医生查看病人，签署“麻醉知情同意书”</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z w:val="18"/>
                <w:szCs w:val="18"/>
                <w:lang w:eastAsia="en-US"/>
              </w:rPr>
              <w:t>完成术前小结</w:t>
            </w: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□完成手术治疗</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24小时内完成手术记录</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□完成术后首次病程记录</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□观察术后生命体征及创面渗血情况</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了解术后首次排尿情况，必要时留置导尿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点</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嘱</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肛肠科护理常规</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□对症治疗（必要时）</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□三大常规+粪便隐血</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□乙肝三对、输血前常规</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□肝功能、肾功能、电解质、血脂常规、血糖</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心电图、胸部X线片</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□腹部彩超</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□电子结肠镜、排粪造影、肛门直肠测压</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□肛肠科护理常规</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□对症治疗</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术前医嘱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□术前饮食</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□术区备皮</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□术前肠道准备</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□禁食</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□控制大便</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□预防感染、疼痛、出血，加强补液、预防电解质紊乱 </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lang w:eastAsia="en-US"/>
              </w:rPr>
              <w:t>对症处理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介绍入院各项检查前注意事项</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□完成入院检查的护理操作</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□根据医嘱执行各项术前准备</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□完成常规生命体征的监测</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□交代术前注意事项</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□术前中医情志疏导、健康教育、 饮食指导</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□交接病人，检查生命体征及用药情况</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□随时观察患者情况</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指导术后饮食</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□协助安全下床</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□告知注意事项</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□指导术后首次排尿</w:t>
            </w:r>
          </w:p>
          <w:p>
            <w:pPr>
              <w:keepNext w:val="0"/>
              <w:keepLines w:val="0"/>
              <w:pageBreakBefore w:val="0"/>
              <w:widowControl w:val="0"/>
              <w:kinsoku/>
              <w:wordWrap/>
              <w:overflowPunct/>
              <w:topLinePunct w:val="0"/>
              <w:autoSpaceDE/>
              <w:autoSpaceDN/>
              <w:bidi w:val="0"/>
              <w:adjustRightInd/>
              <w:snapToGrid/>
              <w:spacing w:line="25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病情</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变异</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记录</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责任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护士</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576"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c>
          <w:tcPr>
            <w:tcW w:w="1592" w:type="pct"/>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c>
          <w:tcPr>
            <w:tcW w:w="1473" w:type="pct"/>
            <w:gridSpan w:val="2"/>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594"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时间</w:t>
            </w:r>
          </w:p>
        </w:tc>
        <w:tc>
          <w:tcPr>
            <w:tcW w:w="1576" w:type="pct"/>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（第4-5日，术后第1-2日）</w:t>
            </w:r>
          </w:p>
        </w:tc>
        <w:tc>
          <w:tcPr>
            <w:tcW w:w="1592" w:type="pct"/>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（第6-9日，术后第3-6日）</w:t>
            </w:r>
          </w:p>
        </w:tc>
        <w:tc>
          <w:tcPr>
            <w:tcW w:w="1469" w:type="pct"/>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（第10日，出院日）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66"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诊</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57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□医师查房，观察术后局部情况</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□卧床休息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禁食，控制大便</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□术后专科换药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1592"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□上级医师查房，观察局部情况</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流质-半流质-普食逐步过渡</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□观察手术结扎线或者直肠吻合口钛钉脱落情况</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□术后换药换药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□中药熏洗坐浴</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□理疗</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□疗效评估，确定出院时间。</w:t>
            </w:r>
          </w:p>
        </w:tc>
        <w:tc>
          <w:tcPr>
            <w:tcW w:w="1469"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□向患者交代出院注意事项、复查日期</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□指导患者出院后功能锻炼、预防常识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□通知出院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320"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点</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嘱</w:t>
            </w:r>
          </w:p>
        </w:tc>
        <w:tc>
          <w:tcPr>
            <w:tcW w:w="157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□禁食，控制大便</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□预防感染、出血、疼痛，护胃，加强补液</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□中医辨证施治</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□辨证使用中成药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□中医辨证施护</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tc>
        <w:tc>
          <w:tcPr>
            <w:tcW w:w="1592"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lang w:eastAsia="zh-CN"/>
              </w:rPr>
              <w:t>（</w:t>
            </w:r>
            <w:r>
              <w:rPr>
                <w:rFonts w:hint="eastAsia" w:ascii="方正书宋简体" w:hAnsi="方正书宋简体" w:eastAsia="方正书宋简体" w:cs="方正书宋简体"/>
                <w:color w:val="auto"/>
                <w:sz w:val="18"/>
                <w:szCs w:val="18"/>
              </w:rPr>
              <w:t>肛肠科术后护理常规</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□专科换药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□辨证使用中药汤剂或中成药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□理疗</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□对症处理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□中医辨证施护</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□复查相关检查</w:t>
            </w:r>
          </w:p>
        </w:tc>
        <w:tc>
          <w:tcPr>
            <w:tcW w:w="1469"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057"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要</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理</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作</w:t>
            </w:r>
          </w:p>
        </w:tc>
        <w:tc>
          <w:tcPr>
            <w:tcW w:w="157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592"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□术后康复、健康教育</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□术后饮食指导</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□协助患者生活护理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□晨晚间护理、夜间巡视</w:t>
            </w:r>
          </w:p>
        </w:tc>
        <w:tc>
          <w:tcPr>
            <w:tcW w:w="1469"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□交代出院后注意事项，进行术后卫生宣教</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□指导出院带药的用法</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923"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病情</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变异</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记录</w:t>
            </w:r>
          </w:p>
        </w:tc>
        <w:tc>
          <w:tcPr>
            <w:tcW w:w="1576"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592"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469"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50"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责任</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护士</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576"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c>
          <w:tcPr>
            <w:tcW w:w="1592"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c>
          <w:tcPr>
            <w:tcW w:w="1469"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50" w:hRule="atLeast"/>
          <w:jc w:val="center"/>
        </w:trPr>
        <w:tc>
          <w:tcPr>
            <w:tcW w:w="357" w:type="pct"/>
            <w:vAlign w:val="center"/>
          </w:tcPr>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w:t>
            </w:r>
          </w:p>
          <w:p>
            <w:pPr>
              <w:keepNext w:val="0"/>
              <w:keepLines w:val="0"/>
              <w:pageBreakBefore w:val="0"/>
              <w:widowControl w:val="0"/>
              <w:kinsoku/>
              <w:wordWrap/>
              <w:topLinePunct w:val="0"/>
              <w:autoSpaceDE/>
              <w:autoSpaceDN/>
              <w:bidi w:val="0"/>
              <w:adjustRightInd/>
              <w:snapToGrid/>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576"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c>
          <w:tcPr>
            <w:tcW w:w="1592"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c>
          <w:tcPr>
            <w:tcW w:w="1469" w:type="pct"/>
          </w:tcPr>
          <w:p>
            <w:pPr>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方正书宋简体" w:hAnsi="方正书宋简体" w:eastAsia="方正书宋简体" w:cs="方正书宋简体"/>
                <w:color w:val="auto"/>
                <w:sz w:val="18"/>
                <w:szCs w:val="18"/>
              </w:rPr>
            </w:pPr>
          </w:p>
        </w:tc>
      </w:tr>
    </w:tbl>
    <w:p>
      <w:pPr>
        <w:keepNext w:val="0"/>
        <w:keepLines w:val="0"/>
        <w:pageBreakBefore w:val="0"/>
        <w:kinsoku/>
        <w:wordWrap/>
        <w:topLinePunct w:val="0"/>
        <w:autoSpaceDE/>
        <w:autoSpaceDN/>
        <w:bidi w:val="0"/>
        <w:spacing w:line="592" w:lineRule="exact"/>
        <w:ind w:left="0" w:leftChars="0" w:right="0" w:rightChars="0" w:firstLine="0" w:firstLineChars="0"/>
        <w:jc w:val="center"/>
        <w:outlineLvl w:val="1"/>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锁骨骨折中医临床路径</w:t>
      </w:r>
    </w:p>
    <w:p>
      <w:pPr>
        <w:keepNext w:val="0"/>
        <w:keepLines w:val="0"/>
        <w:pageBreakBefore w:val="0"/>
        <w:kinsoku/>
        <w:wordWrap/>
        <w:overflowPunct w:val="0"/>
        <w:topLinePunct w:val="0"/>
        <w:autoSpaceDE/>
        <w:autoSpaceDN/>
        <w:bidi w:val="0"/>
        <w:spacing w:line="592" w:lineRule="exact"/>
        <w:ind w:firstLine="480" w:firstLineChars="200"/>
        <w:jc w:val="both"/>
        <w:rPr>
          <w:rFonts w:hint="default" w:ascii="Times New Roman" w:hAnsi="Times New Roman" w:eastAsia="黑体" w:cs="Times New Roman"/>
          <w:color w:val="auto"/>
          <w:sz w:val="24"/>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一、锁骨骨折中医临床路径标准住院流程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第一诊断为锁骨骨折（TCD编码：BGG000、ICD-10编码：S42.001）。</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青枝型骨折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横断型骨折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粉碎型骨折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参照“国家中医药管理局‘十一五’重点专科协作组锁骨骨折诊疗方案”。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锁骨骨折临床常见的证型：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参照“国家中医药管理局‘十一五’重点专科协作组锁骨骨折诊疗方案”。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诊断明确，第一诊断为锁骨骨折。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第一诊断必须符合锁骨骨折（TCD编码：BGG000，ICD-10编码：S42.001）的患者。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外伤引起的单纯性、新鲜闭合锁骨骨折，有闭合复位外固定适应证。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（9）锁骨正位X线片，必要时CT检查</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可选择的检查项目：根据病情需要而定，如血脂、无机元素等。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正骨手法复位治疗：适用于有移位的锁骨骨折。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（1）三角巾悬吊：适用于幼儿青枝骨折或其它不全骨折。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（2）“8”字绷带固定或锁骨带固定。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3.肘腕关节活动良好；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闭合复位后骨折对位对线差，或合并重大血管、神经损伤，骨缺损；闭合复位后不稳定或复位失败等无法通过手法闭合复位进行治疗者需行手术治疗时，退出本路径。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二、锁骨骨折中医临床路径住院表单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适用对象：第一诊断为锁骨骨折（TCD编码：BGG000，ICD-10编码：S42.001）</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患者姓名：</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性别：</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年龄：</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门诊号：</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住院号：</w:t>
      </w:r>
      <w:r>
        <w:rPr>
          <w:rFonts w:hint="eastAsia" w:ascii="方正书宋简体" w:hAnsi="方正书宋简体" w:eastAsia="方正书宋简体" w:cs="方正书宋简体"/>
          <w:color w:val="auto"/>
          <w:sz w:val="18"/>
          <w:szCs w:val="18"/>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发病时间：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时 住院日期：</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 出院日期：</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标准住院日天 ≥10天              实际住院日：</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天</w:t>
      </w:r>
    </w:p>
    <w:tbl>
      <w:tblPr>
        <w:tblStyle w:val="9"/>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78"/>
        <w:gridCol w:w="2718"/>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时间</w:t>
            </w:r>
          </w:p>
        </w:tc>
        <w:tc>
          <w:tcPr>
            <w:tcW w:w="1621"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（第1天）</w:t>
            </w:r>
          </w:p>
        </w:tc>
        <w:tc>
          <w:tcPr>
            <w:tcW w:w="1531"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（第2天）</w:t>
            </w:r>
          </w:p>
        </w:tc>
        <w:tc>
          <w:tcPr>
            <w:tcW w:w="1530"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extDirection w:val="tbRlV"/>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主要诊疗工作</w:t>
            </w:r>
          </w:p>
        </w:tc>
        <w:tc>
          <w:tcPr>
            <w:tcW w:w="162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□麻醉（必要时）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3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□完成上级医师查房及记录</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□观察血运、感觉、功能活动、外固定松紧度等情况</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□完成各项辅助检查</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530"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重点医嘱</w:t>
            </w:r>
          </w:p>
        </w:tc>
        <w:tc>
          <w:tcPr>
            <w:tcW w:w="162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□肝功能、肾功能</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53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530"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主要</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护理</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工作</w:t>
            </w:r>
          </w:p>
        </w:tc>
        <w:tc>
          <w:tcPr>
            <w:tcW w:w="162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3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30"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val="0"/>
              <w:snapToGrid w:val="0"/>
              <w:spacing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16"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病情</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变异</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记录</w:t>
            </w:r>
          </w:p>
        </w:tc>
        <w:tc>
          <w:tcPr>
            <w:tcW w:w="162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53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c>
          <w:tcPr>
            <w:tcW w:w="1530"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□无  □有，原因：</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1.</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16"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责任护士签名</w:t>
            </w:r>
          </w:p>
        </w:tc>
        <w:tc>
          <w:tcPr>
            <w:tcW w:w="162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c>
          <w:tcPr>
            <w:tcW w:w="153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c>
          <w:tcPr>
            <w:tcW w:w="1530"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16" w:type="pct"/>
            <w:vAlign w:val="center"/>
          </w:tcPr>
          <w:p>
            <w:pPr>
              <w:keepNext w:val="0"/>
              <w:keepLines w:val="0"/>
              <w:pageBreakBefore w:val="0"/>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医师</w:t>
            </w:r>
          </w:p>
          <w:p>
            <w:pPr>
              <w:keepNext w:val="0"/>
              <w:keepLines w:val="0"/>
              <w:pageBreakBefore w:val="0"/>
              <w:kinsoku/>
              <w:wordWrap/>
              <w:overflowPunct/>
              <w:topLinePunct w:val="0"/>
              <w:autoSpaceDE/>
              <w:autoSpaceDN/>
              <w:bidi w:val="0"/>
              <w:adjustRightInd w:val="0"/>
              <w:snapToGrid w:val="0"/>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签名</w:t>
            </w:r>
          </w:p>
        </w:tc>
        <w:tc>
          <w:tcPr>
            <w:tcW w:w="162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c>
          <w:tcPr>
            <w:tcW w:w="1531"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c>
          <w:tcPr>
            <w:tcW w:w="1530" w:type="pct"/>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1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40" w:type="pct"/>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84" w:type="pct"/>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75" w:type="pct"/>
            <w:textDirection w:val="tbRlV"/>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40" w:type="pct"/>
          </w:tcPr>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84" w:type="pct"/>
          </w:tcPr>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75" w:type="pct"/>
            <w:textDirection w:val="tbRlV"/>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40" w:type="pct"/>
          </w:tcPr>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tc>
        <w:tc>
          <w:tcPr>
            <w:tcW w:w="2284" w:type="pct"/>
          </w:tcPr>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40" w:type="pct"/>
          </w:tcPr>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84" w:type="pct"/>
          </w:tcPr>
          <w:p>
            <w:pPr>
              <w:keepNext w:val="0"/>
              <w:keepLines w:val="0"/>
              <w:pageBreakBefore w:val="0"/>
              <w:widowControl/>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val="0"/>
              <w:snapToGrid w:val="0"/>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4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8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40" w:type="pct"/>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p>
        </w:tc>
        <w:tc>
          <w:tcPr>
            <w:tcW w:w="2284" w:type="pct"/>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40" w:type="pct"/>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p>
        </w:tc>
        <w:tc>
          <w:tcPr>
            <w:tcW w:w="2284" w:type="pct"/>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肱骨上端骨折中医临床路径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一、肱骨上端骨折中医临床路径标准住院流程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第一诊断为肱骨上端骨折（TCD编码：BGG000、ICD-10编码：S42.200）。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外展型骨折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内收型骨折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粉碎型骨折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参照国家中医药管理局重点专科协作组制定的《肱骨上端骨折中医诊疗方案（试行）》。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肱骨上端骨折临床常见的证型：</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（三）治疗方案</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参照国家中医药管理局重点专科协作组制定的《肱骨上端骨折中医诊疗方案（试行）》。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1．诊断明确，第一诊断为肱骨上端骨折。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（四）标准住院日为≥10天。</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（五）进入路径标准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第一诊断必须符合肱骨上端骨折（TCD编码：BGG000，ICD-10编码：S42.200）的患者。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外伤引起的单纯性、新鲜闭合肱骨上端骨折，有闭合复位外固定适应证。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（六）中医证候学观察</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（七）入院检查项目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（9）肩关节正侧位片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（八）治疗方法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手法复位治疗：适用于有移位的肱骨上端骨折。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（1）三角巾悬吊：适用于无移位骨折或不全骨折。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（2）超关节夹板固定：适用于复位后骨折处稳定的外展型骨折或粉碎型骨折。</w:t>
      </w:r>
    </w:p>
    <w:p>
      <w:pPr>
        <w:keepNext w:val="0"/>
        <w:keepLines w:val="0"/>
        <w:pageBreakBefore w:val="0"/>
        <w:widowControl w:val="0"/>
        <w:kinsoku/>
        <w:wordWrap/>
        <w:overflowPunct w:val="0"/>
        <w:topLinePunct w:val="0"/>
        <w:autoSpaceDE/>
        <w:autoSpaceDN/>
        <w:bidi w:val="0"/>
        <w:adjustRightInd/>
        <w:snapToGrid/>
        <w:spacing w:line="570" w:lineRule="exact"/>
        <w:ind w:firstLine="616" w:firstLineChars="200"/>
        <w:jc w:val="both"/>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3.闭合复位穿针内固定：适用于复位后骨折处不稳定的患者。</w:t>
      </w:r>
    </w:p>
    <w:p>
      <w:pPr>
        <w:keepNext w:val="0"/>
        <w:keepLines w:val="0"/>
        <w:pageBreakBefore w:val="0"/>
        <w:widowControl w:val="0"/>
        <w:kinsoku/>
        <w:wordWrap/>
        <w:overflowPunct w:val="0"/>
        <w:topLinePunct w:val="0"/>
        <w:autoSpaceDE/>
        <w:autoSpaceDN/>
        <w:bidi w:val="0"/>
        <w:adjustRightInd/>
        <w:snapToGrid/>
        <w:spacing w:line="570" w:lineRule="exact"/>
        <w:ind w:firstLine="596" w:firstLineChars="200"/>
        <w:jc w:val="distribute"/>
        <w:textAlignment w:val="auto"/>
        <w:rPr>
          <w:rFonts w:hint="default" w:ascii="Times New Roman" w:hAnsi="Times New Roman" w:eastAsia="仿宋_GB2312" w:cs="Times New Roman"/>
          <w:color w:val="auto"/>
          <w:spacing w:val="-11"/>
          <w:sz w:val="32"/>
        </w:rPr>
      </w:pPr>
      <w:r>
        <w:rPr>
          <w:rFonts w:hint="eastAsia" w:ascii="Times New Roman" w:hAnsi="Times New Roman" w:eastAsia="仿宋_GB2312" w:cs="Times New Roman"/>
          <w:color w:val="auto"/>
          <w:spacing w:val="-11"/>
          <w:sz w:val="32"/>
          <w:lang w:val="en-US" w:eastAsia="zh-CN"/>
        </w:rPr>
        <w:t>4.</w:t>
      </w:r>
      <w:r>
        <w:rPr>
          <w:rFonts w:hint="default" w:ascii="Times New Roman" w:hAnsi="Times New Roman" w:eastAsia="仿宋_GB2312" w:cs="Times New Roman"/>
          <w:color w:val="auto"/>
          <w:spacing w:val="-11"/>
          <w:sz w:val="32"/>
        </w:rPr>
        <w:t>辨证选择口服中药汤剂或中成药。配合外敷中药膏剂或洗剂。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5.针灸治疗。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6.其他疗法。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功能锻炼。</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rPr>
        <w:t>护理调摄。</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（九）出院标准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3.肘腕关节活动良好；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（十）有无变异及原因分析</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闭合复位后骨折对位对线差，或合并重大血管、神经损伤，骨缺损；闭合复位后不稳定或复位失败等无法通过手法闭合复位进行治疗者需行手术治疗时，退出本路径。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t>3．因患者及其家属意愿而影响本路径执行时，退出本路径。</w:t>
      </w:r>
      <w:r>
        <w:rPr>
          <w:rFonts w:hint="default" w:ascii="Times New Roman" w:hAnsi="Times New Roman" w:eastAsia="仿宋_GB2312" w:cs="Times New Roman"/>
          <w:color w:val="auto"/>
          <w:sz w:val="32"/>
        </w:rPr>
        <w:br w:type="page"/>
      </w:r>
      <w:r>
        <w:rPr>
          <w:rFonts w:hint="eastAsia" w:ascii="Times New Roman" w:hAnsi="Times New Roman" w:eastAsia="仿宋_GB2312" w:cs="Times New Roman"/>
          <w:color w:val="auto"/>
          <w:sz w:val="32"/>
          <w:lang w:val="en-US" w:eastAsia="zh-CN"/>
        </w:rPr>
        <w:t xml:space="preserve">    </w:t>
      </w:r>
      <w:r>
        <w:rPr>
          <w:rFonts w:hint="default" w:ascii="Times New Roman" w:hAnsi="Times New Roman" w:eastAsia="黑体" w:cs="Times New Roman"/>
          <w:color w:val="auto"/>
          <w:sz w:val="32"/>
          <w:szCs w:val="32"/>
        </w:rPr>
        <w:t>二、肱骨上端骨折中医临床路径住院表单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适用对象：第一诊断为肱骨上端骨折（TCD编码：BGG000，ICD-10编码：S42.200）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3104"/>
        <w:gridCol w:w="2647"/>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67"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45"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488"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398"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7"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45"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488"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39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67"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45"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48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39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367"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45"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48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9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7"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45"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8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9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7"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45"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8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39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7" w:type="pct"/>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45"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8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398"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val="0"/>
        <w:topLinePunct w:val="0"/>
        <w:autoSpaceDE/>
        <w:autoSpaceDN/>
        <w:bidi w:val="0"/>
        <w:spacing w:line="240" w:lineRule="auto"/>
        <w:jc w:val="both"/>
        <w:textAlignment w:val="auto"/>
        <w:rPr>
          <w:rFonts w:hint="eastAsia" w:ascii="方正书宋简体" w:hAnsi="方正书宋简体" w:eastAsia="方正书宋简体" w:cs="方正书宋简体"/>
          <w:color w:val="auto"/>
          <w:sz w:val="18"/>
          <w:szCs w:val="18"/>
        </w:rPr>
      </w:pPr>
    </w:p>
    <w:tbl>
      <w:tblPr>
        <w:tblStyle w:val="9"/>
        <w:tblW w:w="4858"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162"/>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89" w:type="pct"/>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63" w:type="pct"/>
            <w:vAlign w:val="center"/>
          </w:tcPr>
          <w:p>
            <w:pPr>
              <w:keepNext w:val="0"/>
              <w:keepLines w:val="0"/>
              <w:pageBreakBefore w:val="0"/>
              <w:widowControl/>
              <w:kinsoku/>
              <w:wordWrap/>
              <w:topLinePunct w:val="0"/>
              <w:autoSpaceDE/>
              <w:autoSpaceDN/>
              <w:bidi w:val="0"/>
              <w:adjustRightInd w:val="0"/>
              <w:snapToGrid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46" w:type="pct"/>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auto"/>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389" w:type="pct"/>
            <w:textDirection w:val="tbRlV"/>
            <w:vAlign w:val="center"/>
          </w:tcPr>
          <w:p>
            <w:pPr>
              <w:keepNext w:val="0"/>
              <w:keepLines w:val="0"/>
              <w:pageBreakBefore w:val="0"/>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63"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4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trPr>
        <w:tc>
          <w:tcPr>
            <w:tcW w:w="389" w:type="pct"/>
            <w:textDirection w:val="tbRlV"/>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63"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4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389" w:type="pct"/>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63"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46" w:type="pct"/>
          </w:tcPr>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auto"/>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89" w:type="pct"/>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63" w:type="pct"/>
            <w:vAlign w:val="center"/>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46" w:type="pct"/>
            <w:vAlign w:val="center"/>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9" w:type="pct"/>
            <w:vAlign w:val="center"/>
          </w:tcPr>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63" w:type="pct"/>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p>
        </w:tc>
        <w:tc>
          <w:tcPr>
            <w:tcW w:w="2246" w:type="pct"/>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9" w:type="pct"/>
            <w:vAlign w:val="center"/>
          </w:tcPr>
          <w:p>
            <w:pPr>
              <w:keepNext w:val="0"/>
              <w:keepLines w:val="0"/>
              <w:pageBreakBefore w:val="0"/>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auto"/>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63" w:type="pct"/>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p>
        </w:tc>
        <w:tc>
          <w:tcPr>
            <w:tcW w:w="2246" w:type="pct"/>
          </w:tcPr>
          <w:p>
            <w:pPr>
              <w:keepNext w:val="0"/>
              <w:keepLines w:val="0"/>
              <w:pageBreakBefore w:val="0"/>
              <w:widowControl/>
              <w:kinsoku/>
              <w:wordWrap/>
              <w:topLinePunct w:val="0"/>
              <w:autoSpaceDE/>
              <w:autoSpaceDN/>
              <w:bidi w:val="0"/>
              <w:spacing w:line="240" w:lineRule="auto"/>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肱骨干骨折中医临床路径</w:t>
      </w:r>
    </w:p>
    <w:p>
      <w:pPr>
        <w:keepNext w:val="0"/>
        <w:keepLines w:val="0"/>
        <w:pageBreakBefore w:val="0"/>
        <w:widowControl w:val="0"/>
        <w:kinsoku/>
        <w:wordWrap/>
        <w:overflowPunct w:val="0"/>
        <w:topLinePunct w:val="0"/>
        <w:autoSpaceDE/>
        <w:autoSpaceDN/>
        <w:bidi w:val="0"/>
        <w:adjustRightInd/>
        <w:snapToGrid/>
        <w:spacing w:line="592" w:lineRule="exact"/>
        <w:jc w:val="both"/>
        <w:textAlignment w:val="auto"/>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一、肱骨干骨折中医临床路径标准住院流程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第一诊断为肱骨干骨折（TCD编码：BGG000、ICD-10编码：S42.300）。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上1/3骨折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中1/3骨折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下1/3骨折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参照“国家中医药管理局‘十一五’重点专科协作组肱骨干骨折诊疗方案”。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肱骨干骨折临床常见的证型：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参照“国家中医药管理局‘十一五’重点专科协作组肱骨干骨折诊疗方案”。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诊断明确，第一诊断为肱骨干骨折。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第一诊断必须符合肱骨干骨折（TCD编码：BGG000，ICD-10编码：S42.300）的患者。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外伤引起的单纯性、新鲜闭合肱骨干骨折，有闭合复位外固定适应证。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（9）肱骨正位X线片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手法复位治疗：适用于有移位的肱骨干骨折。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（1）夹板固定：其长度视骨折部位而定。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（2）前臂吊带固定：前臂置于中立位，患肢悬吊于胸前。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3.肘腕关节活动良好；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闭合复位后骨折对位对线差，或合并重大血管、神经损伤，骨缺损；闭合复位后不稳定或复位失败等无法通过手法闭合复位进行治疗者需行手术治疗时，退出本路径。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二、肱骨干骨折中医临床路径住院表单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适用对象：第一诊断为肱骨干骨折（TCD编码：BGG000，ICD-10编码：S42.300）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880"/>
        <w:gridCol w:w="2719"/>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22"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31"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528"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317" w:type="pct"/>
            <w:textDirection w:val="tbRlV"/>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62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3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528"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317" w:type="pct"/>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62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531"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528"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317"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2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31"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28"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7"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2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3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2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7"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2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2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7" w:type="pct"/>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2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2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416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6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42"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91"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65"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4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65"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4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6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4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91"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42"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9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4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1"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65"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4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1"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Times New Roman" w:hAnsi="Times New Roman" w:cs="Times New Roman"/>
          <w:color w:val="auto"/>
        </w:rPr>
      </w:pPr>
    </w:p>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肱骨下端骨折中医临床路径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一、肱骨下端骨折中医临床路径标准住院流程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第一诊断为肱骨下端骨折（TCD编码：BGG000、ICD-10编码：S42.400）。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w:t>
      </w:r>
      <w:bookmarkStart w:id="1" w:name="_Hlk136703281"/>
      <w:r>
        <w:rPr>
          <w:rFonts w:hint="default" w:ascii="Times New Roman" w:hAnsi="Times New Roman" w:eastAsia="仿宋_GB2312" w:cs="Times New Roman"/>
          <w:color w:val="auto"/>
          <w:sz w:val="32"/>
        </w:rPr>
        <w:t>“国家中医药管理局”十四五”规划教材《中医正骨学》第十一版（冷向阳等主编，中国中医药出版社，2021年）</w:t>
      </w:r>
    </w:p>
    <w:bookmarkEnd w:id="1"/>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（1）伸直型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（2）屈曲型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参照国家中医重点专科协作组肱骨下端骨折协作组制定的“肱骨下端骨折中医诊疗方案”。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肱骨下端骨折临床常见的证型：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营血不调证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参照国家中医重点专科协作组外上髁骨折协作组制定的“肱骨下端骨折中医诊疗方案”。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诊断明确，第一诊断为肱骨下端骨折。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第一诊断必须符合肱骨下端骨折（TCD编码：BGG000，ICD-10编码：S42.400）的患者。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外伤引起的单纯性、新鲜闭合肱骨下端骨折，有闭合复位外固定适应证。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（9）肘关节正位X线片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（1）超肘夹板或石膏固定：其长度视骨折部位而定。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（2）前臂吊带固定：前臂置于中立位，患肢悬吊于胸前。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（1）骨折初期：活血祛瘀，消肿止痛。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（2）骨折中期：和营生新，接骨续筋。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（3）骨折后期：补益肝肾、强壮筋骨。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护理调摄。</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1.骨折处肿痛减轻或消失；</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2.X线片复查显示达到功能复位标准；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3.肩、腕关节活动良好；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闭合复位后骨折对位对线差，或合并重大血管、神经损伤，骨缺损；闭合复位后不稳定或复位失败等无法通过手法闭合复位进行治疗者需行手术治疗时，退出本路径。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二、肱骨下端骨折中医临床路径住院表单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适用对象：第一诊断为肱骨下端骨折（TCD编码：BGG000，ICD-10编码：S42.400）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64"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3005"/>
        <w:gridCol w:w="2723"/>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14"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04"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44"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436"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314" w:type="pct"/>
            <w:textDirection w:val="tbRlV"/>
            <w:vAlign w:val="center"/>
          </w:tcPr>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04"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44" w:type="pct"/>
          </w:tcPr>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436"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314"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04"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544"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436"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314"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04"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完成麻醉前各项护理操作（必要时）</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44"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436" w:type="pct"/>
          </w:tcPr>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4"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0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4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36"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4"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0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4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36"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4" w:type="pct"/>
            <w:vAlign w:val="center"/>
          </w:tcPr>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0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44"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36"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51"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4176"/>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80"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75"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44"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380"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7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4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trPr>
        <w:tc>
          <w:tcPr>
            <w:tcW w:w="380"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7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4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380"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7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44"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80"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75"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44"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80"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7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44"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80"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7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44"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Times New Roman" w:hAnsi="Times New Roman" w:cs="Times New Roman"/>
          <w:color w:val="auto"/>
        </w:rPr>
      </w:pPr>
    </w:p>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桡骨下端骨折中医临床路径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一、桡骨下端骨折中医临床路径标准住院流程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第一诊断为桡骨远端骨折（TCD编码：BGG000、ICD-10编码：S42.500）。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（1）无移位型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（2）伸直型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（3）屈曲型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（4）半脱位型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参照《国家中医药管理局“十一五”重点专科桡骨下端骨折骨折诊疗方案》。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桡骨下端骨折临床常见的证型：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参照《国家中医药管理局“十一五”重点专科桡骨下端骨折诊疗方案》。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诊断明确，第一诊断为桡骨下端骨折。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（四）标准住院日为≥7天。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第一诊断必须符合桡骨下端骨折（TCD编码：BGG000，ICD-10编码：S42.500）的患者。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外伤引起的单纯性、新鲜闭合桡骨下端骨折，有闭合复位外固定适应证。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（9）腕关节正位X线片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可选择的检查项目：根据病情需要而定，如CT、MRI、心脏彩超、动态心电图、肺功能、骨密度测定等。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1．手法复位治疗：适用于有移位的桡骨下端骨折。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2．小夹板外固定。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5.并发症的防治。</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1.病情稳定，局部肿胀好转，X线片复查达到功能复位标准，小夹板固定稳定。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2.没有需要住院治疗的并发症。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3.初步形成中医特色的个体化的康复方案。</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1．闭合复位后骨折对位对线差，或合并重大血管、神经损伤，骨缺损；闭合复位后不稳定或复位失败等无法通过手法闭合复位进行治疗者需行手术治疗时，退出本路径。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二、桡骨下端骨折中医临床路径住院表单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适用对象：第一诊断为桡骨下端骨折（TCD编码：BGG000，ICD-10编码：S42.500）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标准住院日≥7天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85"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882"/>
        <w:gridCol w:w="271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63"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27"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35"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473"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3" w:type="pct"/>
            <w:textDirection w:val="tbRlV"/>
            <w:vAlign w:val="center"/>
          </w:tcPr>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627"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35"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473"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3"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627"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535"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473"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3"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27"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35"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473"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3"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27"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73"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3" w:type="pct"/>
            <w:vAlign w:val="center"/>
          </w:tcPr>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27"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73"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63" w:type="pct"/>
            <w:vAlign w:val="center"/>
          </w:tcPr>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left="0" w:leftChars="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27"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73"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07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298"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98"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402"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402"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40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98"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0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298"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98"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0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29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02"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29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Times New Roman" w:hAnsi="Times New Roman" w:cs="Times New Roman"/>
          <w:color w:val="auto"/>
        </w:rPr>
      </w:pPr>
    </w:p>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桡尺骨骨干骨折中医临床路径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一、桡尺骨骨干骨折中医临床路径标准住院流程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第一诊断为桡尺骨骨干骨折（TCD编码：BGG000、ICD-10编码：S52.400）。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斜形骨折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横断骨折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粉碎型骨折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参照“国家中医药管理局‘十一五’重点专科协作组桡尺骨和桡骨骨干骨折诊疗方案”。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尺桡骨骨干骨折临床常见的证型：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参照“国家中医药管理局‘十一五’重点专科协作组尺骨和桡骨骨干骨折诊疗方案”。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诊断明确，第一诊断为桡尺骨骨干骨折。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第一诊断必须符合桡尺骨骨干骨折（TCD编码：BGG000，ICD-10编码：S52.400）的患者。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外伤引起的单纯性、新鲜闭合性骨折，有闭合复位外固定适应证。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（六）中医证候学观察</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（七）入院检查项目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（9）前臂正侧位X线片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（八）治疗方法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手法复位治疗：适用于有移位的尺桡骨骨干骨折。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（1）石膏固定：适用于无移位稳定骨折或不完全骨折。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（2）夹板固定：适用于复位后稳定的骨折。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3.闭合穿针内固定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（1）弹性针固定：适用于小儿骨折。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（2）髓内针固定：适用于成人横断或斜形骨折。</w:t>
      </w:r>
    </w:p>
    <w:p>
      <w:pPr>
        <w:keepNext w:val="0"/>
        <w:keepLines w:val="0"/>
        <w:pageBreakBefore w:val="0"/>
        <w:widowControl w:val="0"/>
        <w:kinsoku/>
        <w:wordWrap/>
        <w:overflowPunct w:val="0"/>
        <w:topLinePunct w:val="0"/>
        <w:autoSpaceDE/>
        <w:autoSpaceDN/>
        <w:bidi w:val="0"/>
        <w:adjustRightInd/>
        <w:snapToGrid/>
        <w:spacing w:line="570" w:lineRule="exact"/>
        <w:ind w:firstLine="596" w:firstLineChars="200"/>
        <w:jc w:val="distribute"/>
        <w:textAlignment w:val="auto"/>
        <w:rPr>
          <w:rFonts w:hint="default" w:ascii="Times New Roman" w:hAnsi="Times New Roman" w:eastAsia="仿宋_GB2312" w:cs="Times New Roman"/>
          <w:color w:val="auto"/>
          <w:spacing w:val="-11"/>
          <w:sz w:val="32"/>
        </w:rPr>
      </w:pPr>
      <w:r>
        <w:rPr>
          <w:rFonts w:hint="eastAsia" w:ascii="Times New Roman" w:hAnsi="Times New Roman" w:eastAsia="仿宋_GB2312" w:cs="Times New Roman"/>
          <w:color w:val="auto"/>
          <w:spacing w:val="-11"/>
          <w:sz w:val="32"/>
          <w:lang w:val="en-US" w:eastAsia="zh-CN"/>
        </w:rPr>
        <w:t>4.</w:t>
      </w:r>
      <w:r>
        <w:rPr>
          <w:rFonts w:hint="default" w:ascii="Times New Roman" w:hAnsi="Times New Roman" w:eastAsia="仿宋_GB2312" w:cs="Times New Roman"/>
          <w:color w:val="auto"/>
          <w:spacing w:val="-11"/>
          <w:sz w:val="32"/>
        </w:rPr>
        <w:t>辨证选择口服中药汤剂或中成药。配合外敷中药膏剂或洗剂。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功能锻炼。</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护理：辨证施护</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（九）出院标准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2.X线片复查达到功能复位或解剖复位标准；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3.肩、腕关节活动良好；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（十）有无变异及原因分析</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闭合复位后骨折对位对线差，或合并重大血管、神经损伤，骨缺损；闭合复位后不稳定或复位失败等无法通过手法闭合复位进行治疗者需行手术治疗时，退出本路径。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二、桡尺骨骨干骨折中医临床路径住院表单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适用对象：第一诊断为桡尺骨骨干骨折（TCD编码：BGG000，ICD-10编码：S52.400）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3029"/>
        <w:gridCol w:w="2581"/>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99" w:type="pct"/>
            <w:vAlign w:val="center"/>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448" w:type="pct"/>
            <w:vAlign w:val="center"/>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523" w:type="pct"/>
            <w:vAlign w:val="center"/>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699"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448"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523"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699"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44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523"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99"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448"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23"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8"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99"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4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2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8"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99"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4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2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28"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99"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4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2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4162"/>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71"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38"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90"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71"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38"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90"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71"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38"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90"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71"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38"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90" w:type="pct"/>
          </w:tcPr>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1"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38"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90"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71"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3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71"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38"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9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掌骨骨折中医临床路径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一、掌骨骨折中医临床路径标准住院流程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第一诊断为掌骨骨折（TCD编码：BGG000、ICD-10编码：S62.200）。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第1掌骨基底部骨折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第1掌骨基底部骨折脱位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掌骨颈骨折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掌骨干骨折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参照“国家中医药管理局‘十一五’重点专科协作组掌骨骨折诊疗方案”。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掌骨骨折临床常见的证型：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参照“国家中医药管理局‘十一五’重点专科协作组掌骨骨折诊疗方案”。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诊断明确，第一诊断为掌骨骨折。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（四）标准住院日为≥7天。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第一诊断必须符合掌骨骨折（TCD编码：BGG000，ICD-10编码：S62.200）的患者。</w:t>
      </w:r>
      <w:r>
        <w:rPr>
          <w:rFonts w:hint="eastAsia" w:ascii="Times New Roman" w:hAnsi="Times New Roman" w:eastAsia="仿宋_GB2312" w:cs="Times New Roman"/>
          <w:color w:val="auto"/>
          <w:sz w:val="32"/>
          <w:lang w:val="en-US" w:eastAsia="zh-CN"/>
        </w:rPr>
        <w:t>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外伤引起的单纯性、新鲜闭合掌骨骨折，有闭合复位穿针固定适应证。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（1）局部肿胀严重者。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（9）手正斜位X线片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手法整复、穿针固定。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4.护理：辨证施护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5.并发症的防治</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1.病情稳定，局部肿胀好转，X线片复查达到功能复位标准，内（外）固定牢靠。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2.没有需要住院治疗的并发症。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3.初步形成中医特色的个体化的康复方案。</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1.病情加重，需要延长住院时间，增加住院费用。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2.复位后骨折端成角及错位，需行切开复位手术治疗，退出本路径。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二、掌骨骨折中医临床路径住院表单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适用对象：第一诊断为掌骨骨折（TCD编码：BGG000，ICD-10编码：S62.200）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标准住院日≥7天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937"/>
        <w:gridCol w:w="266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52"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496"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526"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652"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496"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526"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652"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496"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526"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52"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496"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26" w:type="pct"/>
          </w:tcPr>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5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9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2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2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5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9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2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24"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5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49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2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71"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161"/>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87"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56"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55"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387"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56"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55"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trPr>
        <w:tc>
          <w:tcPr>
            <w:tcW w:w="387"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56"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55"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387"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56"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55" w:type="pct"/>
          </w:tcPr>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87"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56"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55"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5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7"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6"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5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Times New Roman" w:hAnsi="Times New Roman" w:cs="Times New Roman"/>
          <w:color w:val="auto"/>
        </w:rPr>
      </w:pPr>
    </w:p>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r>
        <w:rPr>
          <w:rFonts w:hint="default" w:ascii="Times New Roman" w:hAnsi="Times New Roman" w:eastAsia="方正小标宋简体" w:cs="Times New Roman"/>
          <w:color w:val="auto"/>
          <w:sz w:val="44"/>
          <w:szCs w:val="44"/>
        </w:rPr>
        <w:t>指骨骨折中医临床路径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第一诊断为指骨骨折（TCD编码：BGG000、ICD-10编码：S62.500）。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近节指骨骨折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指骨颈骨折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末节指骨基底背侧撕脱骨折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参照“国家中医药管理局‘十一五’重点专科协作组指骨骨折诊疗方案”。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指骨骨折临床常见的证型：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参照“国家中医药管理局‘十一五’重点专科协作组指骨骨折诊疗方案”。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诊断明确，第一诊断为指骨骨折。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（四）标准住院日为≥7天。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第一诊断必须符合指骨骨折（TCD编码：BGG000，ICD-10编码：S62.500）的患者。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外伤引起的单纯性、新鲜闭合指骨骨折，有闭合复位穿针固定适应证。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（1）合并有指骨骨折无移位者。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（2）并发血管神经肌腱损伤者。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（3）局部肿胀严重者。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（9）手部正斜位X线片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手法整复、穿针固定。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4.护理：辨证施护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5.并发症的防治</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1.病情稳定，局部肿胀好转，X线片复查达到功能复位标准，内固定牢靠。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2.没有需要住院治疗的并发症。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3.初步形成中医特色的个体化的康复方案。</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1.病情加重，需要延长住院时间，增加住院费用。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2.复位后骨折端成角及错位，需行切开复位手术治疗，退出本路径。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二、指骨骨折中医临床路径住院表单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适用对象：第一诊断为指骨骨折（TCD编码：BGG000，ICD-10编码：S62.500）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标准住院日≥7天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937"/>
        <w:gridCol w:w="27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58"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57"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481"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 w:type="pct"/>
            <w:textDirection w:val="tbRlV"/>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658"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57" w:type="pct"/>
          </w:tcPr>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481"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pacing w:val="-6"/>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完成上级医师查房及病程记录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 w:type="pct"/>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658"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□开具中药处方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□中医特色治疗，如：隔物灸</w:t>
            </w:r>
          </w:p>
        </w:tc>
        <w:tc>
          <w:tcPr>
            <w:tcW w:w="1557"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481"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1"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58"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57"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481"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1"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5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57"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8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01"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5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57"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48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01" w:type="pct"/>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58"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57"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481"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default" w:ascii="Times New Roman" w:hAnsi="Times New Roman" w:cs="Times New Roman"/>
          <w:color w:val="auto"/>
          <w:sz w:val="18"/>
          <w:szCs w:val="18"/>
        </w:rPr>
      </w:pPr>
    </w:p>
    <w:tbl>
      <w:tblPr>
        <w:tblStyle w:val="9"/>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07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2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287"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87"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425"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287"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87"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425"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287"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287"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42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2287"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87" w:type="pct"/>
          </w:tcPr>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2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287"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87"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25"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287"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87"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25"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287"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87"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rPr>
        <w:br w:type="page"/>
      </w:r>
      <w:bookmarkStart w:id="2" w:name="_Toc316476092"/>
      <w:bookmarkStart w:id="3" w:name="_Toc314556785"/>
      <w:bookmarkStart w:id="4" w:name="_Toc316029669"/>
      <w:r>
        <w:rPr>
          <w:rFonts w:hint="default" w:ascii="Times New Roman" w:hAnsi="Times New Roman" w:eastAsia="方正小标宋简体" w:cs="Times New Roman"/>
          <w:color w:val="auto"/>
          <w:sz w:val="44"/>
          <w:szCs w:val="44"/>
        </w:rPr>
        <w:t>髌骨骨折中医临床路径</w:t>
      </w:r>
      <w:bookmarkEnd w:id="2"/>
      <w:bookmarkEnd w:id="3"/>
      <w:bookmarkEnd w:id="4"/>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路径说明：本路径适用于髌骨骨折中医临床路径标准流程。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一、髌骨骨折中医临床路径标准住院流程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第一诊断为髌骨骨折（TCD-10编码为：BGG000；ICD-10编码为：S82.000）。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（1）中医诊断：参照中华人民共和国中医药行业标准《中医病证诊断疗效标准》（ZY/T001.9-94）及全国高等中医药院校规划教材《中医正骨学》第十一版（冷向阳、马勇主编，中国中医药出版社，2021年）。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（2）西医诊断：参照《实用骨科学》第四版修订本（胥少汀主编，人民军医出版社，2019年）和《临床诊疗指南一骨科分册》（中华医学会编著，人民卫生出版社，2009年）。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（1）早期：伤后1～2周内。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（2）中期：伤后3周～4周。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（3）后期：伤后4周以上。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（1）根据骨折线的走向和骨折端的位置分型：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无移位型：横行骨折和粉碎性骨折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有移位型：横行骨折、粉碎性骨折、下极粉碎性骨折、上极粉碎性骨折和纵形骨折。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参照中华人民共和国中医药行业标准《中医病证诊断疗效标准》证候诊断：参照国家中医药管理局重点专科协作组制定的《髌骨骨折中医诊疗方案（试行）》。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髌骨骨折临床常见证候：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营血不调证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气血两虚证</w:t>
      </w:r>
    </w:p>
    <w:p>
      <w:pPr>
        <w:pStyle w:val="28"/>
        <w:bidi w:val="0"/>
        <w:rPr>
          <w:rFonts w:hint="default"/>
          <w:color w:val="auto"/>
        </w:rPr>
      </w:pPr>
      <w:r>
        <w:rPr>
          <w:rFonts w:hint="default"/>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参照国家中医药管理局重点专科协作组制定的《髌骨骨折中医诊疗方案（试行）》。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1.诊断明确，第一诊断为髌骨骨折。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1.第一诊断必须符合髌骨骨折诊断标准（TCD编码：BGG000骨折病；ICD-10编码：S82.000髌骨骨折）的新鲜骨折患者。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2.外伤引起的单纯性闭合性新鲜髌骨骨折。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3.当患者同时具有其他疾病，但在住院期间不需特殊处理也不影响第一诊断的临床路径流程实施时，可以进入本路径。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（1）病理性骨折。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（4）合并其它部位骨折和损伤。</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（3）粪便常规+隐血OB</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（5）电解质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（6）血糖、血脂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（7）心肌酶</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（8）凝血功能+D二聚体</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（11）膝关节正侧位X线片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（12）双下肢深静脉彩超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2.可选择的检查项目：根据病情需要而定，如膝关节CT或MRI、心脏彩超、ESR等。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1.复位和固定。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无移位或有移位的骨折经牵引和手法复位后可行抱膝圈+石膏外固定术。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2.药物治疗。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辨证选择口服中药汤剂、中成药。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（1）血瘀气滞证：行气活血、消肿止痛。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（2）营血不调证：和营止痛。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（3）气血两虚证：补益气血。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4.物理疗法，根据病人情况选用。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B.场效应治疗仪：每日1-2次。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C.频谱治疗仪：每日一2次。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D.脉冲电磁夹板：每日1-2次。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2.膝关节活动尚好；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1.因并发其他部位损伤致使治疗时间或卧床时间延长，增加住院费用。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2.合并心血管、呼吸系统、内分泌等其他内科疾病导致治疗时间延长，增加住院费用。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3.治疗过程中发生了病情变化，出现中风、DVT等严重并发症，退出本路径。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bCs/>
          <w:color w:val="auto"/>
          <w:sz w:val="32"/>
        </w:rPr>
        <w:br w:type="page"/>
      </w:r>
      <w:r>
        <w:rPr>
          <w:rFonts w:hint="default" w:ascii="Times New Roman" w:hAnsi="Times New Roman" w:eastAsia="黑体" w:cs="Times New Roman"/>
          <w:color w:val="auto"/>
          <w:sz w:val="32"/>
          <w:szCs w:val="32"/>
        </w:rPr>
        <w:t>二、髌骨骨折临床路径住院表单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适用对象：第一诊断：髌骨骨折（TCD编码：BGG000骨折病；ICD-10编码：S82.000髌骨骨折）</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患者姓名：</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性别：</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年龄：</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岁  门诊号：</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住院号：</w:t>
      </w:r>
      <w:r>
        <w:rPr>
          <w:rFonts w:hint="eastAsia" w:ascii="方正书宋简体" w:hAnsi="方正书宋简体" w:eastAsia="方正书宋简体" w:cs="方正书宋简体"/>
          <w:bCs/>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发病时间：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住院日期：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出院日期：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天</w:t>
      </w:r>
    </w:p>
    <w:tbl>
      <w:tblPr>
        <w:tblStyle w:val="9"/>
        <w:tblW w:w="490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42"/>
        <w:gridCol w:w="126"/>
        <w:gridCol w:w="2716"/>
        <w:gridCol w:w="1020"/>
        <w:gridCol w:w="1761"/>
        <w:gridCol w:w="2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00" w:type="pct"/>
            <w:gridSpan w:val="2"/>
            <w:vAlign w:val="top"/>
          </w:tcPr>
          <w:p>
            <w:pPr>
              <w:keepNext w:val="0"/>
              <w:keepLines w:val="0"/>
              <w:pageBreakBefore w:val="0"/>
              <w:widowControl/>
              <w:kinsoku/>
              <w:wordWrap/>
              <w:overflowPunct/>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65" w:type="pct"/>
            <w:gridSpan w:val="2"/>
            <w:vAlign w:val="top"/>
          </w:tcPr>
          <w:p>
            <w:pPr>
              <w:keepNext w:val="0"/>
              <w:keepLines w:val="0"/>
              <w:pageBreakBefore w:val="0"/>
              <w:widowControl/>
              <w:kinsoku/>
              <w:wordWrap/>
              <w:overflowPunct/>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第2—5天）</w:t>
            </w:r>
          </w:p>
        </w:tc>
        <w:tc>
          <w:tcPr>
            <w:tcW w:w="1529" w:type="pct"/>
            <w:vAlign w:val="top"/>
          </w:tcPr>
          <w:p>
            <w:pPr>
              <w:keepNext w:val="0"/>
              <w:keepLines w:val="0"/>
              <w:pageBreakBefore w:val="0"/>
              <w:widowControl/>
              <w:kinsoku/>
              <w:wordWrap/>
              <w:overflowPunct/>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（第6—14天）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1600" w:type="pct"/>
            <w:gridSpan w:val="2"/>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□密切观察、防治并发症</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□患肢临时固定</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□中医四诊信息采集</w:t>
            </w:r>
          </w:p>
          <w:p>
            <w:pPr>
              <w:keepNext w:val="0"/>
              <w:keepLines w:val="0"/>
              <w:pageBreakBefore w:val="0"/>
              <w:widowControl w:val="0"/>
              <w:kinsoku/>
              <w:wordWrap/>
              <w:overflowPunct/>
              <w:topLinePunct w:val="0"/>
              <w:autoSpaceDE/>
              <w:autoSpaceDN/>
              <w:bidi w:val="0"/>
              <w:adjustRightInd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□进行中医证候判断</w:t>
            </w:r>
          </w:p>
          <w:p>
            <w:pPr>
              <w:keepNext w:val="0"/>
              <w:keepLines w:val="0"/>
              <w:pageBreakBefore w:val="0"/>
              <w:widowControl w:val="0"/>
              <w:kinsoku/>
              <w:wordWrap/>
              <w:overflowPunct/>
              <w:topLinePunct w:val="0"/>
              <w:autoSpaceDE/>
              <w:autoSpaceDN/>
              <w:bidi w:val="0"/>
              <w:adjustRightInd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□开具中医综合治疗初步方案</w:t>
            </w:r>
          </w:p>
        </w:tc>
        <w:tc>
          <w:tcPr>
            <w:tcW w:w="1565" w:type="pct"/>
            <w:gridSpan w:val="2"/>
          </w:tcPr>
          <w:p>
            <w:pPr>
              <w:keepNext w:val="0"/>
              <w:keepLines w:val="0"/>
              <w:pageBreakBefore w:val="0"/>
              <w:widowControl w:val="0"/>
              <w:kinsoku/>
              <w:wordWrap/>
              <w:overflowPunct/>
              <w:topLinePunct w:val="0"/>
              <w:autoSpaceDE/>
              <w:autoSpaceDN/>
              <w:bidi w:val="0"/>
              <w:adjustRightInd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□完成上级医师查房及记录</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bCs/>
                <w:color w:val="auto"/>
                <w:spacing w:val="-6"/>
                <w:sz w:val="18"/>
                <w:szCs w:val="18"/>
              </w:rPr>
              <w:t>签署“麻醉知情同意书”（必要时）</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□完成各项辅助检查</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distribute"/>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11"/>
                <w:sz w:val="18"/>
                <w:szCs w:val="18"/>
              </w:rPr>
              <w:t>向患者或家属交代病情和注意事项</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□观察血运、感觉、功能活动、外固定松紧度等情况</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□必要时行皮牵或骨牵引</w:t>
            </w:r>
          </w:p>
        </w:tc>
        <w:tc>
          <w:tcPr>
            <w:tcW w:w="1529" w:type="pct"/>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□观察舌脉象、肿胀、疼痛情况，及时调整外固定松紧度或牵引力线和重量</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1600" w:type="pct"/>
            <w:gridSpan w:val="2"/>
          </w:tcPr>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□尿常规</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□大便常规</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 </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□肾功能</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□电解质</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□血糖</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□胸部透视或胸部X线片</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□心电图  </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□膝关节X线片</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□下肢血管彩超</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□床旁心脏彩超（必要时）</w:t>
            </w:r>
          </w:p>
          <w:p>
            <w:pPr>
              <w:keepNext w:val="0"/>
              <w:keepLines w:val="0"/>
              <w:pageBreakBefore w:val="0"/>
              <w:widowControl w:val="0"/>
              <w:kinsoku/>
              <w:wordWrap/>
              <w:overflowPunct/>
              <w:topLinePunct w:val="0"/>
              <w:autoSpaceDE/>
              <w:autoSpaceDN/>
              <w:bidi w:val="0"/>
              <w:adjustRightInd/>
              <w:snapToGrid/>
              <w:spacing w:line="20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□骨密度检查（必要时）</w:t>
            </w:r>
          </w:p>
        </w:tc>
        <w:tc>
          <w:tcPr>
            <w:tcW w:w="1565" w:type="pct"/>
            <w:gridSpan w:val="2"/>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pStyle w:val="5"/>
              <w:keepNext w:val="0"/>
              <w:keepLines w:val="0"/>
              <w:pageBreakBefore w:val="0"/>
              <w:widowControl w:val="0"/>
              <w:kinsoku/>
              <w:wordWrap/>
              <w:overflowPunct/>
              <w:topLinePunct w:val="0"/>
              <w:autoSpaceDE/>
              <w:autoSpaceDN/>
              <w:bidi w:val="0"/>
              <w:snapToGrid/>
              <w:spacing w:after="0" w:line="240" w:lineRule="exact"/>
              <w:ind w:left="180" w:leftChars="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□根据会诊可是要求开检查单或化验单</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□镇痛等对症处理</w:t>
            </w:r>
          </w:p>
        </w:tc>
        <w:tc>
          <w:tcPr>
            <w:tcW w:w="1529" w:type="pct"/>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00" w:type="pct"/>
            <w:gridSpan w:val="2"/>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65" w:type="pct"/>
            <w:gridSpan w:val="2"/>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bCs/>
                <w:color w:val="auto"/>
                <w:spacing w:val="-11"/>
                <w:sz w:val="18"/>
                <w:szCs w:val="18"/>
              </w:rPr>
              <w:t>完成麻醉前各项护理操作（必要时）</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29" w:type="pct"/>
          </w:tcPr>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00"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65"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29"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  □有，原因：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00"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65"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29"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05" w:type="pct"/>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00"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65"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29"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76" w:type="pct"/>
            <w:gridSpan w:val="2"/>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103" w:type="pct"/>
            <w:gridSpan w:val="2"/>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（第15—20天）</w:t>
            </w:r>
          </w:p>
        </w:tc>
        <w:tc>
          <w:tcPr>
            <w:tcW w:w="2519" w:type="pct"/>
            <w:gridSpan w:val="2"/>
            <w:vAlign w:val="top"/>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4" w:hRule="atLeast"/>
          <w:jc w:val="center"/>
        </w:trPr>
        <w:tc>
          <w:tcPr>
            <w:tcW w:w="376" w:type="pct"/>
            <w:gridSpan w:val="2"/>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2103" w:type="pct"/>
            <w:gridSpan w:val="2"/>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519" w:type="pct"/>
            <w:gridSpan w:val="2"/>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376" w:type="pct"/>
            <w:gridSpan w:val="2"/>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2103" w:type="pct"/>
            <w:gridSpan w:val="2"/>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519" w:type="pct"/>
            <w:gridSpan w:val="2"/>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76" w:type="pct"/>
            <w:gridSpan w:val="2"/>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103" w:type="pct"/>
            <w:gridSpan w:val="2"/>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□指导外固定器具自我护理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519" w:type="pct"/>
            <w:gridSpan w:val="2"/>
          </w:tcPr>
          <w:p>
            <w:pPr>
              <w:keepNext w:val="0"/>
              <w:keepLines w:val="0"/>
              <w:pageBreakBefore w:val="0"/>
              <w:widowControl/>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6" w:type="pct"/>
            <w:gridSpan w:val="2"/>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103" w:type="pct"/>
            <w:gridSpan w:val="2"/>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2519" w:type="pct"/>
            <w:gridSpan w:val="2"/>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76" w:type="pct"/>
            <w:gridSpan w:val="2"/>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03"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519"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76" w:type="pct"/>
            <w:gridSpan w:val="2"/>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03"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519" w:type="pct"/>
            <w:gridSpan w:val="2"/>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kern w:val="0"/>
        </w:rPr>
        <w:br w:type="page"/>
      </w:r>
      <w:r>
        <w:rPr>
          <w:rFonts w:hint="default" w:ascii="Times New Roman" w:hAnsi="Times New Roman" w:eastAsia="方正小标宋简体" w:cs="Times New Roman"/>
          <w:color w:val="auto"/>
          <w:sz w:val="44"/>
          <w:szCs w:val="44"/>
        </w:rPr>
        <w:t>腓骨骨折中医临床路径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一、腓骨骨折中医临床路径标准住院流程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第一诊断为腓骨骨折（TCD编码：BGG000、ICD-10编码：S82.400）。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（1）中医诊断标准：参照中华人民共和国行业标准《中医病证诊断疗效标准》（ZY/T001.9-94）及《中医骨伤科学》第十一版（黄桂成等主编，中国中医药出版社，2021年）。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（1）横断形骨折；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（2）斜形骨折；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（3）粉碎性骨折。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参照国家中医药管理局重点专科协作组制定的《胫腓骨骨折中医诊疗方案（试行）》。腓骨骨折临床常见证候：</w:t>
      </w:r>
    </w:p>
    <w:p>
      <w:pPr>
        <w:keepNext w:val="0"/>
        <w:keepLines w:val="0"/>
        <w:pageBreakBefore w:val="0"/>
        <w:numPr>
          <w:ilvl w:val="0"/>
          <w:numId w:val="1"/>
        </w:numPr>
        <w:kinsoku/>
        <w:wordWrap/>
        <w:overflowPunct w:val="0"/>
        <w:topLinePunct w:val="0"/>
        <w:autoSpaceDE/>
        <w:autoSpaceDN/>
        <w:bidi w:val="0"/>
        <w:spacing w:line="592" w:lineRule="exact"/>
        <w:ind w:left="0"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numPr>
          <w:ilvl w:val="0"/>
          <w:numId w:val="1"/>
        </w:numPr>
        <w:kinsoku/>
        <w:wordWrap/>
        <w:overflowPunct w:val="0"/>
        <w:topLinePunct w:val="0"/>
        <w:autoSpaceDE/>
        <w:autoSpaceDN/>
        <w:bidi w:val="0"/>
        <w:spacing w:line="592" w:lineRule="exact"/>
        <w:ind w:left="0"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numPr>
          <w:ilvl w:val="0"/>
          <w:numId w:val="1"/>
        </w:numPr>
        <w:kinsoku/>
        <w:wordWrap/>
        <w:overflowPunct w:val="0"/>
        <w:topLinePunct w:val="0"/>
        <w:autoSpaceDE/>
        <w:autoSpaceDN/>
        <w:bidi w:val="0"/>
        <w:spacing w:line="592" w:lineRule="exact"/>
        <w:ind w:left="0"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w:t>
      </w:r>
      <w:bookmarkStart w:id="5" w:name="_Hlk136702307"/>
      <w:r>
        <w:rPr>
          <w:rFonts w:hint="default" w:ascii="Times New Roman" w:hAnsi="Times New Roman" w:eastAsia="仿宋_GB2312" w:cs="Times New Roman"/>
          <w:color w:val="auto"/>
          <w:sz w:val="32"/>
        </w:rPr>
        <w:t>“国家中医药管理局”十四五”规划教材《中医正骨学》第十一版（冷向阳等主编，中国中医药出版社，2021年</w:t>
      </w:r>
      <w:bookmarkEnd w:id="5"/>
      <w:r>
        <w:rPr>
          <w:rFonts w:hint="default" w:ascii="Times New Roman" w:hAnsi="Times New Roman" w:eastAsia="仿宋_GB2312" w:cs="Times New Roman"/>
          <w:color w:val="auto"/>
          <w:sz w:val="32"/>
        </w:rPr>
        <w:t>）及《中医骨伤科学》第十一版（黄桂成等主编，中国中医药出版社，2021年）。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1．诊断明确，第一诊断为腓骨骨折。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第一诊断必须符合腓骨骨折（TCD编码：BGG000，ICD-10编码：S82.400）的患者。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外伤引起的单纯性、新鲜闭合腓骨骨折，有闭合复位外固定适应证。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（1）合并有筋膜间室综合征等。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（2）腓骨骨折合并Pilon骨折及多发性骨折。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（5）电解质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（10）胫腓骨正侧位X线片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（11）双下肢深静脉彩超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可选择的检查项目：根据病情需要而定，如CT、MRI、心脏彩超、动态心电图、肺功能检查等。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手法复位治疗：适用于伤后2-3小时内肿胀未明显、有移位的腓骨骨折。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（1）夹板固定：适用于复位后稳定的骨折。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（2）石膏固定：适用于无移位稳定骨折或不全骨折。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numPr>
          <w:ilvl w:val="0"/>
          <w:numId w:val="2"/>
        </w:numPr>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瘀血凝滞证：和营生新，接骨续筋。</w:t>
      </w:r>
    </w:p>
    <w:p>
      <w:pPr>
        <w:keepNext w:val="0"/>
        <w:keepLines w:val="0"/>
        <w:pageBreakBefore w:val="0"/>
        <w:numPr>
          <w:ilvl w:val="0"/>
          <w:numId w:val="2"/>
        </w:numPr>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2.X线片复查达到功能复位或解剖复位标准；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3.膝踝关节活动良好；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1.手法复位后骨折对位对线未达到功能复位的要求或合并有血管、神经损伤等并发症，需要手术者退出本路径。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2.合并有心脑血管疾病等在住院期间病情加重，导致住院时间延长、费用增加者退出本路径。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3.发生药物反应等不良反应需特殊处理，导致住院时间延长、费用增加者退出本路径。 </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二、腓骨骨折中医临床路径住院表单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适用对象：第一诊断为腓骨骨折（TCD编码：BGG000，ICD-10编码：S82.400）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3026"/>
        <w:gridCol w:w="2585"/>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10"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461"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535"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2" w:type="pct"/>
            <w:textDirection w:val="tbRlV"/>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10"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461"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535"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2" w:type="pct"/>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10"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tc>
        <w:tc>
          <w:tcPr>
            <w:tcW w:w="1461"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535"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10"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461"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535" w:type="pct"/>
          </w:tcPr>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42" w:rightChars="-2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10"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61"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2" w:type="pct"/>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10"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61"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2" w:type="pct"/>
            <w:vAlign w:val="center"/>
          </w:tcPr>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10"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461"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c>
          <w:tcPr>
            <w:tcW w:w="1535" w:type="pct"/>
          </w:tcPr>
          <w:p>
            <w:pPr>
              <w:keepNext w:val="0"/>
              <w:keepLines w:val="0"/>
              <w:pageBreakBefore w:val="0"/>
              <w:widowControl/>
              <w:kinsoku/>
              <w:wordWrap/>
              <w:overflowPunct/>
              <w:topLinePunct w:val="0"/>
              <w:autoSpaceDE/>
              <w:autoSpaceDN/>
              <w:bidi w:val="0"/>
              <w:spacing w:line="240" w:lineRule="exact"/>
              <w:ind w:right="-42" w:rightChars="-2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4162"/>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51"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303" w:type="pct"/>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44"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51"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44"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51"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4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51"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303" w:type="pct"/>
          </w:tcPr>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4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5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303"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44"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1"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44"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1"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2"/>
        </w:rPr>
        <w:br w:type="page"/>
      </w:r>
      <w:r>
        <w:rPr>
          <w:rFonts w:hint="default" w:ascii="Times New Roman" w:hAnsi="Times New Roman" w:eastAsia="方正小标宋简体" w:cs="Times New Roman"/>
          <w:color w:val="auto"/>
          <w:sz w:val="44"/>
          <w:szCs w:val="44"/>
        </w:rPr>
        <w:t>股骨干骨折中医临床路径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cs="Times New Roman"/>
          <w:b/>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一、股骨干骨折中医临床路径标准住院流程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第一诊断为股骨干骨折（TCD编码为：BGG000；ICD-10编码为：S72.300）。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参照中华人民共和国中医药行业标准《中医病证诊断疗效标准》（ZY/T001.9-94）及全国中医药行业高等教育“十四五”规划教材《中医正骨学》（冷向阳，马勇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（2）西医诊断：参照《实用骨科学》第四版（胥少汀主编，人民军医出版社，2012年）和《临床疾病诊断依据治愈好转标准》（孙传兴主编，人民军医出版社，1987年）。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（3）后期：伤后4周以上。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（1）股骨干骨折的分型一般可按骨折的部位分型，移位有一定规律：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股骨干上1/3骨折时，骨折近段因受髂腰肌、臀中、小肌及外旋肌的作用，而产生屈曲、外展及外旋移位；远骨折段则向后上、内移位。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股骨干中1/3骨折时，骨折端移位，无一定规律性，视暴力方向而异，若骨折端尚有接触而无重叠时．由于内收肌的作用，骨折向外成角。</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股骨干下1/3骨折时，由于膝后方关节囊及腓肠肌的牵拉，骨折远端多向后倾斜，有压迫或损伤动、静脉和胫、腓总神经的危险，而骨折近端内收向前移位。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参照“国家中医药管理局‘十一五’重点专科协作组股骨干骨折诊疗方案”。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股骨干骨折临床常见的证型：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骨折临床常见证候：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（3）肝肾亏虚证；</w:t>
      </w:r>
    </w:p>
    <w:p>
      <w:pPr>
        <w:pStyle w:val="28"/>
        <w:bidi w:val="0"/>
        <w:rPr>
          <w:rFonts w:hint="default"/>
          <w:color w:val="auto"/>
        </w:rPr>
      </w:pPr>
      <w:r>
        <w:rPr>
          <w:rFonts w:hint="default"/>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参照“国家中医药管理局‘十一五’重点专科协作组股骨干骨折诊疗方案”。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1.诊断明确，第一诊断为股骨干骨折。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bookmarkStart w:id="6" w:name="_Hlk133418533"/>
      <w:r>
        <w:rPr>
          <w:rFonts w:hint="default" w:ascii="Times New Roman" w:hAnsi="Times New Roman" w:eastAsia="仿宋_GB2312" w:cs="Times New Roman"/>
          <w:color w:val="auto"/>
          <w:sz w:val="32"/>
        </w:rPr>
        <w:t>第一诊断必须符合股骨干骨折（TCD编码：BGG000）和股骨干骨折（ICD-10编码：S72.301）的患者</w:t>
      </w:r>
      <w:bookmarkEnd w:id="6"/>
      <w:r>
        <w:rPr>
          <w:rFonts w:hint="default" w:ascii="Times New Roman" w:hAnsi="Times New Roman" w:eastAsia="仿宋_GB2312" w:cs="Times New Roman"/>
          <w:color w:val="auto"/>
          <w:sz w:val="32"/>
        </w:rPr>
        <w: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2.外伤引起的单纯性、新鲜闭合股骨干骨折，有闭合复位外固定适应证。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（1）局部肿胀严重者；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（3）合并其他无法耐受闭合复位外固定治疗的疾病（如严重心脑血管疾病、癫痫）等。</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（1）血常规+血型+Rh、尿常规、便常规；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（2）肝功能、肾功能、电解质、血糖、心肌酶；</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（3）凝血功能，D-二聚体；</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（4）心电图，心脏彩超；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（6）股骨X线片；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（7）床旁心脏彩超；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（8）下肢血管彩超。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2.可选择的检查项目：根据病情需要而定，如股骨CT或MRI、ESR等。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1.整复和固定。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无移位或有移位的骨折经牵引和手法复位后可行夹板或其他外固定。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2.根据骨折三期辨证用药辨证选择口服中药汤剂、中成药。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（1）血瘀气滞证：行气活血、消肿止痛。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（2）营血不调证：和营止痛。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（3）肝肾亏虚证：补益气血。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B.场效应治疗仪：每日1-2次。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C.频谱治疗仪：每日一2次。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D.脉冲电磁夹板：每日1-2次。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E.软组织伤痛治疗仪：每日1-2次。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F.低温冲击镇痛仪：每日1-2次。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2.支架针口干洁无渗液；</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4.初步形成具有中医特色的个体化的康复方案；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1.因并发其他部位损伤致使治疗时间或卧床时间延长，增加住院费用。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2.合并心血管、呼吸系统、内分泌等其他内科疾病导致治疗时间延长，增加住院费用。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3.治疗过程中发生了病情变化，出现中风、DVT等严重并发症，退出本路径。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bCs/>
          <w:color w:val="auto"/>
          <w:sz w:val="32"/>
        </w:rPr>
        <w:br w:type="page"/>
      </w:r>
      <w:r>
        <w:rPr>
          <w:rFonts w:hint="default" w:ascii="Times New Roman" w:hAnsi="Times New Roman" w:eastAsia="黑体" w:cs="Times New Roman"/>
          <w:color w:val="auto"/>
          <w:sz w:val="32"/>
          <w:szCs w:val="32"/>
        </w:rPr>
        <w:t>二、股骨干骨折临床路径住院表单</w:t>
      </w:r>
    </w:p>
    <w:p>
      <w:pPr>
        <w:keepNext w:val="0"/>
        <w:keepLines w:val="0"/>
        <w:pageBreakBefore w:val="0"/>
        <w:widowControl w:val="0"/>
        <w:kinsoku/>
        <w:wordWrap/>
        <w:overflowPunct w:val="0"/>
        <w:topLinePunct w:val="0"/>
        <w:autoSpaceDE/>
        <w:autoSpaceDN/>
        <w:bidi w:val="0"/>
        <w:adjustRightInd/>
        <w:snapToGrid/>
        <w:spacing w:line="300" w:lineRule="exact"/>
        <w:ind w:left="1000" w:right="0" w:rightChars="0" w:hanging="1000" w:hangingChars="50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适用对象：第一诊断必须符合中医诊断为股骨干骨折（TCD编码：BGG000）和股骨干骨折（ICD-10编码：S72.301）的患者</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患者姓名：</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性别：</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年龄：</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岁  门诊号：</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住院号：</w:t>
      </w:r>
      <w:r>
        <w:rPr>
          <w:rFonts w:hint="eastAsia" w:ascii="方正书宋简体" w:hAnsi="方正书宋简体" w:eastAsia="方正书宋简体" w:cs="方正书宋简体"/>
          <w:bCs/>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发病时间：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住院日期：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出院日期：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天</w:t>
      </w:r>
    </w:p>
    <w:tbl>
      <w:tblPr>
        <w:tblStyle w:val="9"/>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7"/>
        <w:gridCol w:w="2656"/>
        <w:gridCol w:w="1025"/>
        <w:gridCol w:w="209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503" w:type="pct"/>
            <w:vAlign w:val="center"/>
          </w:tcPr>
          <w:p>
            <w:pPr>
              <w:keepNext w:val="0"/>
              <w:keepLines w:val="0"/>
              <w:pageBreakBefore w:val="0"/>
              <w:widowControl/>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763" w:type="pct"/>
            <w:gridSpan w:val="2"/>
            <w:vAlign w:val="center"/>
          </w:tcPr>
          <w:p>
            <w:pPr>
              <w:keepNext w:val="0"/>
              <w:keepLines w:val="0"/>
              <w:pageBreakBefore w:val="0"/>
              <w:widowControl/>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第2—5天）</w:t>
            </w:r>
          </w:p>
        </w:tc>
        <w:tc>
          <w:tcPr>
            <w:tcW w:w="1347" w:type="pct"/>
            <w:vAlign w:val="center"/>
          </w:tcPr>
          <w:p>
            <w:pPr>
              <w:keepNext w:val="0"/>
              <w:keepLines w:val="0"/>
              <w:pageBreakBefore w:val="0"/>
              <w:widowControl/>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（第6—14天）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 w:type="pct"/>
            <w:gridSpan w:val="2"/>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1503" w:type="pct"/>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spacing w:line="240" w:lineRule="exact"/>
              <w:ind w:left="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763" w:type="pct"/>
            <w:gridSpan w:val="2"/>
          </w:tcPr>
          <w:p>
            <w:pPr>
              <w:keepNext w:val="0"/>
              <w:keepLines w:val="0"/>
              <w:pageBreakBefore w:val="0"/>
              <w:widowControl w:val="0"/>
              <w:kinsoku/>
              <w:wordWrap/>
              <w:overflowPunct/>
              <w:topLinePunct w:val="0"/>
              <w:autoSpaceDE/>
              <w:autoSpaceDN/>
              <w:bidi w:val="0"/>
              <w:adjustRightInd w:val="0"/>
              <w:snapToGrid/>
              <w:spacing w:line="22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□完成上级医师查房及记录</w:t>
            </w:r>
          </w:p>
          <w:p>
            <w:pPr>
              <w:keepNext w:val="0"/>
              <w:keepLines w:val="0"/>
              <w:pageBreakBefore w:val="0"/>
              <w:widowControl w:val="0"/>
              <w:kinsoku/>
              <w:wordWrap/>
              <w:overflowPunct/>
              <w:topLinePunct w:val="0"/>
              <w:autoSpaceDE/>
              <w:autoSpaceDN/>
              <w:bidi w:val="0"/>
              <w:adjustRightInd w:val="0"/>
              <w:snapToGrid/>
              <w:spacing w:line="220" w:lineRule="exact"/>
              <w:ind w:left="31680" w:right="-63" w:rightChars="-30" w:hanging="90" w:hangingChars="5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spacing w:line="22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spacing w:line="22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向患者或家属交代病情和注意事项</w:t>
            </w:r>
          </w:p>
          <w:p>
            <w:pPr>
              <w:keepNext w:val="0"/>
              <w:keepLines w:val="0"/>
              <w:pageBreakBefore w:val="0"/>
              <w:widowControl w:val="0"/>
              <w:kinsoku/>
              <w:wordWrap/>
              <w:overflowPunct/>
              <w:topLinePunct w:val="0"/>
              <w:autoSpaceDE/>
              <w:autoSpaceDN/>
              <w:bidi w:val="0"/>
              <w:adjustRightInd w:val="0"/>
              <w:snapToGrid/>
              <w:spacing w:line="22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p>
            <w:pPr>
              <w:keepNext w:val="0"/>
              <w:keepLines w:val="0"/>
              <w:pageBreakBefore w:val="0"/>
              <w:widowControl w:val="0"/>
              <w:kinsoku/>
              <w:wordWrap/>
              <w:overflowPunct/>
              <w:topLinePunct w:val="0"/>
              <w:autoSpaceDE/>
              <w:autoSpaceDN/>
              <w:bidi w:val="0"/>
              <w:adjustRightInd w:val="0"/>
              <w:snapToGrid/>
              <w:spacing w:line="22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spacing w:line="22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spacing w:line="22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snapToGrid/>
              <w:spacing w:line="22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□观察血运、感觉、功能活动、外固定松紧度等情况</w:t>
            </w:r>
          </w:p>
          <w:p>
            <w:pPr>
              <w:keepNext w:val="0"/>
              <w:keepLines w:val="0"/>
              <w:pageBreakBefore w:val="0"/>
              <w:widowControl w:val="0"/>
              <w:kinsoku/>
              <w:wordWrap/>
              <w:overflowPunct/>
              <w:topLinePunct w:val="0"/>
              <w:autoSpaceDE/>
              <w:autoSpaceDN/>
              <w:bidi w:val="0"/>
              <w:snapToGrid/>
              <w:spacing w:line="22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□必要时行骨牵引</w:t>
            </w:r>
          </w:p>
        </w:tc>
        <w:tc>
          <w:tcPr>
            <w:tcW w:w="1347" w:type="pct"/>
          </w:tcPr>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1503" w:type="pct"/>
          </w:tcPr>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□大便常规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□肾功能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□电解质</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□血糖</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□胸部X线片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□心电图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□股骨X线片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□下肢血管彩超</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□床旁心脏彩超（必要时）</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□骨密度检查（必要时）</w:t>
            </w:r>
          </w:p>
        </w:tc>
        <w:tc>
          <w:tcPr>
            <w:tcW w:w="1763"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□支架针口换药</w:t>
            </w:r>
          </w:p>
        </w:tc>
        <w:tc>
          <w:tcPr>
            <w:tcW w:w="1347" w:type="pct"/>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503" w:type="pct"/>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763"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中医情志疏导、健康教育与生活护理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47" w:type="pct"/>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观察肿胀、疼痛、末梢血循、外固定松紧度等情况及护理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4" w:type="pct"/>
            <w:gridSpan w:val="2"/>
            <w:vAlign w:val="center"/>
          </w:tcPr>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503" w:type="pct"/>
          </w:tcPr>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763" w:type="pct"/>
            <w:gridSpan w:val="2"/>
          </w:tcPr>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47" w:type="pct"/>
          </w:tcPr>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2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84"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503"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763"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47"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4" w:type="pct"/>
            <w:gridSpan w:val="2"/>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503"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763"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47"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35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115" w:type="pct"/>
            <w:gridSpan w:val="3"/>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（第15—20天）</w:t>
            </w:r>
          </w:p>
        </w:tc>
        <w:tc>
          <w:tcPr>
            <w:tcW w:w="2532" w:type="pct"/>
            <w:gridSpan w:val="2"/>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（第21天）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4" w:hRule="atLeast"/>
          <w:jc w:val="center"/>
        </w:trPr>
        <w:tc>
          <w:tcPr>
            <w:tcW w:w="352"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2115" w:type="pct"/>
            <w:gridSpan w:val="3"/>
          </w:tcPr>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532"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35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2115" w:type="pct"/>
            <w:gridSpan w:val="3"/>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532"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jc w:val="center"/>
        </w:trPr>
        <w:tc>
          <w:tcPr>
            <w:tcW w:w="35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115" w:type="pct"/>
            <w:gridSpan w:val="3"/>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□指导外固定器具自我护理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532"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35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115" w:type="pct"/>
            <w:gridSpan w:val="3"/>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2532"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35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15" w:type="pct"/>
            <w:gridSpan w:val="3"/>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532"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4" w:hRule="atLeast"/>
          <w:jc w:val="center"/>
        </w:trPr>
        <w:tc>
          <w:tcPr>
            <w:tcW w:w="352"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15" w:type="pct"/>
            <w:gridSpan w:val="3"/>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532"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jc w:val="both"/>
        <w:rPr>
          <w:rFonts w:hint="default" w:ascii="Times New Roman" w:hAnsi="Times New Roman" w:cs="Times New Roman"/>
          <w:color w:val="auto"/>
          <w:kern w:val="0"/>
        </w:rPr>
      </w:pPr>
    </w:p>
    <w:p>
      <w:pPr>
        <w:keepNext w:val="0"/>
        <w:keepLines w:val="0"/>
        <w:pageBreakBefore w:val="0"/>
        <w:kinsoku/>
        <w:wordWrap/>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2"/>
        </w:rPr>
        <w:br w:type="page"/>
      </w:r>
      <w:r>
        <w:rPr>
          <w:rFonts w:hint="default" w:ascii="Times New Roman" w:hAnsi="Times New Roman" w:eastAsia="方正小标宋简体" w:cs="Times New Roman"/>
          <w:color w:val="auto"/>
          <w:sz w:val="44"/>
          <w:szCs w:val="44"/>
        </w:rPr>
        <w:t>股骨粗隆间骨折中医临床路径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一、股骨粗隆间骨折中医临床路径标准住院流程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第一诊断为股骨粗隆间骨折（TCD编码为：BGG040；ICD-10编码为：S72·101）。</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参照中华人民共和国中医药行业标准《中医病证诊断疗效标准》（ZY/T001.9-94）及全国中医药行业高等教育“十四五”规划教材《中医正骨学》（冷向阳，马勇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（2）西医诊断：参照《实用骨科学》第三版（胥少汀主编，人民军医出版社，2008年）和《临床疾病诊断依据治愈好转标准》（孙传兴主编，人民军医出版社，1987年）。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（3）后期：伤后4周以上。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（1）根据骨折线的走向和骨折端的位置分型：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顺粗隆间型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反粗隆间型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粗隆间粉碎型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（2）根据《实用骨科学》第四版（胥少汀主编，人民军医出版社，2012年），采用Evans分型系统分型：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I型：顺粗隆间骨折，无骨折移位，为稳定型骨折。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II型：骨折线至小粗隆上缘，该处骨皮质可压陷或否，骨折移位呈内翻畸形。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IIIA型：粗隆间骨折+小粗隆骨折，内翻畸形。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IIIB型：粗隆间骨折+大粗隆骨折，成为单独骨折块。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IV型：粗隆间骨折+大小粗隆骨折，亦可粉碎骨折。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V型：反粗隆骨折，即骨折线自小粗隆至大粗隆下。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参照国家中医药管理局重点专科协作组制定的《股骨粗隆间骨折中医诊疗方案（试行）》。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股骨粗隆间骨折临床常见证候：</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（3）肝肾亏虚证；</w:t>
      </w:r>
    </w:p>
    <w:p>
      <w:pPr>
        <w:pStyle w:val="28"/>
        <w:bidi w:val="0"/>
        <w:rPr>
          <w:rFonts w:hint="default"/>
          <w:color w:val="auto"/>
        </w:rPr>
      </w:pPr>
      <w:r>
        <w:rPr>
          <w:rFonts w:hint="default"/>
          <w:color w:val="auto"/>
        </w:rPr>
        <w:t>（三）治疗方案的选择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参照国家中医药管理局重点专科协作组制定的《股骨粗隆间骨折中医诊疗方案（试行）》。</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1.诊断明确，第一诊断为股骨粗隆间骨折。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1.第一诊断必须符合股骨粗隆间骨折诊断标准（TCD编码：BGG040骨折病；ICD-10编码：S72·101股骨粗隆间骨折）的新鲜骨折患者。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2.外伤引起的单纯性闭合性新鲜股骨粗隆间骨折属EvansⅠ、Ⅱ、ⅢA型，有闭合复位支架外固定适应症者。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3.当患者同时具有其他疾病，但在住院期间不需特殊处理也不影响第一诊断的临床路径流程实施时，可以进入本路径。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（1）病理性骨折。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（1）血常规+血型+Rh、尿常规、便常规；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（2）肝功能、肾功能、电解质、血糖、心肌酶；</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（3）凝血功能，D-二聚体；</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（4）心电图，心脏彩超；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（5）胸部透视或胸部X线片；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（6）髋关节X线片；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（7）床旁心脏彩超；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（8）下肢血管彩超。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2.可选择的检查项目：根据病情需要而定，如髋关节CT或MRI、ESR等。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1.整复和固定。</w:t>
      </w:r>
    </w:p>
    <w:p>
      <w:pPr>
        <w:keepNext w:val="0"/>
        <w:keepLines w:val="0"/>
        <w:pageBreakBefore w:val="0"/>
        <w:kinsoku/>
        <w:wordWrap/>
        <w:overflowPunct w:val="0"/>
        <w:topLinePunct w:val="0"/>
        <w:autoSpaceDE/>
        <w:autoSpaceDN/>
        <w:bidi w:val="0"/>
        <w:spacing w:line="592" w:lineRule="exact"/>
        <w:ind w:firstLine="616" w:firstLineChars="200"/>
        <w:jc w:val="both"/>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rPr>
        <w:t>无移位或有移位的骨折经牵引和手法复位后可行支架外固定。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2.根据骨折三期辨证用药辨证选择口服中药汤剂、中成药。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（1）血瘀气滞证：行气活血、消肿止痛。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（2）营血不调证：和营止痛。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（3）肝肾亏虚证：补益气血。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B.场效应治疗仪：每日1-2次。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C.频谱治疗仪：每日一2次。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D.脉冲电磁夹板：每日1-2次。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2.髋膝关节活动尚好，支架针口干洁无渗液；</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1.因并发其他部位损伤致使治疗时间或卧床时间延长，增加住院费用。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2.合并心血管、呼吸系统、内分泌等其他内科疾病导致治疗时间延长，增加住院费用。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3.治疗过程中发生了病情变化，出现中风、DVT等严重并发症，退出本路径。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bCs/>
          <w:color w:val="auto"/>
          <w:sz w:val="32"/>
        </w:rPr>
        <w:br w:type="page"/>
      </w:r>
      <w:r>
        <w:rPr>
          <w:rFonts w:hint="default" w:ascii="Times New Roman" w:hAnsi="Times New Roman" w:eastAsia="黑体" w:cs="Times New Roman"/>
          <w:color w:val="auto"/>
          <w:sz w:val="32"/>
          <w:szCs w:val="32"/>
        </w:rPr>
        <w:t>二、股骨粗隆间骨折临床路径住院表单</w:t>
      </w:r>
    </w:p>
    <w:p>
      <w:pPr>
        <w:keepNext w:val="0"/>
        <w:keepLines w:val="0"/>
        <w:pageBreakBefore w:val="0"/>
        <w:widowControl w:val="0"/>
        <w:kinsoku/>
        <w:wordWrap/>
        <w:overflowPunct w:val="0"/>
        <w:topLinePunct w:val="0"/>
        <w:autoSpaceDE/>
        <w:autoSpaceDN/>
        <w:bidi w:val="0"/>
        <w:adjustRightInd/>
        <w:snapToGrid/>
        <w:spacing w:line="300" w:lineRule="exact"/>
        <w:ind w:left="1000" w:hanging="1000" w:hangingChars="50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适用对象：第一诊断：股骨粗隆间骨折（TCD编码：BGG040骨折病、ICD-10编码：S72·101股骨粗隆间骨折）</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患者姓名：</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性别：</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年龄：</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岁  门诊号：</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住院号：</w:t>
      </w:r>
      <w:r>
        <w:rPr>
          <w:rFonts w:hint="eastAsia" w:ascii="方正书宋简体" w:hAnsi="方正书宋简体" w:eastAsia="方正书宋简体" w:cs="方正书宋简体"/>
          <w:bCs/>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发病时间：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住院日期：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出院日期：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天</w:t>
      </w:r>
    </w:p>
    <w:tbl>
      <w:tblPr>
        <w:tblStyle w:val="9"/>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
        <w:gridCol w:w="448"/>
        <w:gridCol w:w="175"/>
        <w:gridCol w:w="2521"/>
        <w:gridCol w:w="1234"/>
        <w:gridCol w:w="1987"/>
        <w:gridCol w:w="2444"/>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521" w:type="pct"/>
            <w:gridSpan w:val="2"/>
            <w:vAlign w:val="top"/>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817" w:type="pct"/>
            <w:gridSpan w:val="2"/>
            <w:vAlign w:val="top"/>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第2—5天）</w:t>
            </w:r>
          </w:p>
        </w:tc>
        <w:tc>
          <w:tcPr>
            <w:tcW w:w="1379" w:type="pct"/>
            <w:vAlign w:val="top"/>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（第6—14天）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1521" w:type="pct"/>
            <w:gridSpan w:val="2"/>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overflowPunct/>
              <w:topLinePunct w:val="0"/>
              <w:autoSpaceDE/>
              <w:autoSpaceDN/>
              <w:bidi w:val="0"/>
              <w:adjustRightInd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overflowPunct/>
              <w:topLinePunct w:val="0"/>
              <w:autoSpaceDE/>
              <w:autoSpaceDN/>
              <w:bidi w:val="0"/>
              <w:adjustRightInd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817" w:type="pct"/>
            <w:gridSpan w:val="2"/>
          </w:tcPr>
          <w:p>
            <w:pPr>
              <w:keepNext w:val="0"/>
              <w:keepLines w:val="0"/>
              <w:pageBreakBefore w:val="0"/>
              <w:widowControl w:val="0"/>
              <w:kinsoku/>
              <w:wordWrap/>
              <w:overflowPunct/>
              <w:topLinePunct w:val="0"/>
              <w:autoSpaceDE/>
              <w:autoSpaceDN/>
              <w:bidi w:val="0"/>
              <w:adjustRightInd w:val="0"/>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□完成上级医师查房及记录</w:t>
            </w:r>
          </w:p>
          <w:p>
            <w:pPr>
              <w:keepNext w:val="0"/>
              <w:keepLines w:val="0"/>
              <w:pageBreakBefore w:val="0"/>
              <w:widowControl w:val="0"/>
              <w:kinsoku/>
              <w:wordWrap/>
              <w:overflowPunct/>
              <w:topLinePunct w:val="0"/>
              <w:autoSpaceDE/>
              <w:autoSpaceDN/>
              <w:bidi w:val="0"/>
              <w:adjustRightInd w:val="0"/>
              <w:snapToGrid/>
              <w:spacing w:line="200" w:lineRule="exact"/>
              <w:ind w:left="31680" w:right="-63" w:rightChars="-30" w:hanging="90" w:hangingChars="5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adjustRightInd w:val="0"/>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p>
            <w:pPr>
              <w:keepNext w:val="0"/>
              <w:keepLines w:val="0"/>
              <w:pageBreakBefore w:val="0"/>
              <w:widowControl w:val="0"/>
              <w:kinsoku/>
              <w:wordWrap/>
              <w:overflowPunct/>
              <w:topLinePunct w:val="0"/>
              <w:autoSpaceDE/>
              <w:autoSpaceDN/>
              <w:bidi w:val="0"/>
              <w:adjustRightInd w:val="0"/>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□观察血运、感觉、功能活动、外固定松紧度等情况</w:t>
            </w:r>
          </w:p>
          <w:p>
            <w:pPr>
              <w:keepNext w:val="0"/>
              <w:keepLines w:val="0"/>
              <w:pageBreakBefore w:val="0"/>
              <w:widowControl w:val="0"/>
              <w:kinsoku/>
              <w:wordWrap/>
              <w:overflowPunct/>
              <w:topLinePunct w:val="0"/>
              <w:autoSpaceDE/>
              <w:autoSpaceDN/>
              <w:bidi w:val="0"/>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□必要时行皮牵或骨牵引</w:t>
            </w:r>
          </w:p>
        </w:tc>
        <w:tc>
          <w:tcPr>
            <w:tcW w:w="1379" w:type="pct"/>
          </w:tcPr>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1521" w:type="pct"/>
            <w:gridSpan w:val="2"/>
          </w:tcPr>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□大便常规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□肾功能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□电解质</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□血糖</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□胸部X线片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□心电图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□髋关节X线片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□髋关节CT</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□下肢血管彩超</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□床旁心脏彩超（必要时）</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□骨密度检查（必要时）</w:t>
            </w:r>
          </w:p>
        </w:tc>
        <w:tc>
          <w:tcPr>
            <w:tcW w:w="1817" w:type="pct"/>
            <w:gridSpan w:val="2"/>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pStyle w:val="5"/>
              <w:keepNext w:val="0"/>
              <w:keepLines w:val="0"/>
              <w:pageBreakBefore w:val="0"/>
              <w:kinsoku/>
              <w:wordWrap/>
              <w:overflowPunct/>
              <w:topLinePunct w:val="0"/>
              <w:autoSpaceDE/>
              <w:autoSpaceDN/>
              <w:bidi w:val="0"/>
              <w:snapToGrid/>
              <w:spacing w:after="0" w:line="240" w:lineRule="exact"/>
              <w:ind w:left="0" w:leftChars="0" w:right="-63" w:rightChars="-30"/>
              <w:jc w:val="both"/>
              <w:textAlignment w:val="auto"/>
              <w:rPr>
                <w:rFonts w:hint="eastAsia" w:ascii="方正书宋简体" w:hAnsi="方正书宋简体" w:eastAsia="方正书宋简体" w:cs="方正书宋简体"/>
                <w:color w:val="auto"/>
                <w:spacing w:val="-6"/>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对异常检查结果进行评估，必要时复查</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□支架针口换药</w:t>
            </w:r>
          </w:p>
        </w:tc>
        <w:tc>
          <w:tcPr>
            <w:tcW w:w="1379" w:type="pct"/>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521" w:type="pct"/>
            <w:gridSpan w:val="2"/>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817" w:type="pct"/>
            <w:gridSpan w:val="2"/>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79" w:type="pct"/>
          </w:tcPr>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napToGrid/>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观察肿胀、疼痛、末梢血循、外固定松紧度等情况及护理</w:t>
            </w:r>
          </w:p>
          <w:p>
            <w:pPr>
              <w:keepNext w:val="0"/>
              <w:keepLines w:val="0"/>
              <w:pageBreakBefore w:val="0"/>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widowControl/>
              <w:kinsoku/>
              <w:wordWrap/>
              <w:overflowPunct/>
              <w:topLinePunct w:val="0"/>
              <w:autoSpaceDE/>
              <w:autoSpaceDN/>
              <w:bidi w:val="0"/>
              <w:adjustRightInd/>
              <w:snapToGrid/>
              <w:spacing w:line="20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0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0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521" w:type="pct"/>
            <w:gridSpan w:val="2"/>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817" w:type="pct"/>
            <w:gridSpan w:val="2"/>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79" w:type="pct"/>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20" w:hRule="atLeast"/>
          <w:jc w:val="center"/>
        </w:trPr>
        <w:tc>
          <w:tcPr>
            <w:tcW w:w="253" w:type="pct"/>
            <w:vAlign w:val="center"/>
          </w:tcPr>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521" w:type="pct"/>
            <w:gridSpan w:val="2"/>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817" w:type="pct"/>
            <w:gridSpan w:val="2"/>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79" w:type="pct"/>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 w:type="pct"/>
          <w:wAfter w:w="13" w:type="pct"/>
          <w:trHeight w:val="680" w:hRule="atLeast"/>
          <w:jc w:val="center"/>
        </w:trPr>
        <w:tc>
          <w:tcPr>
            <w:tcW w:w="253" w:type="pct"/>
            <w:vAlign w:val="center"/>
          </w:tcPr>
          <w:p>
            <w:pPr>
              <w:keepNext w:val="0"/>
              <w:keepLines w:val="0"/>
              <w:pageBreakBefore w:val="0"/>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snapToGrid/>
              <w:spacing w:line="240" w:lineRule="exact"/>
              <w:ind w:left="-84" w:leftChars="-40" w:right="-84" w:rightChars="-4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521" w:type="pct"/>
            <w:gridSpan w:val="2"/>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817" w:type="pct"/>
            <w:gridSpan w:val="2"/>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79" w:type="pct"/>
          </w:tcPr>
          <w:p>
            <w:pPr>
              <w:keepNext w:val="0"/>
              <w:keepLines w:val="0"/>
              <w:pageBreakBefore w:val="0"/>
              <w:widowControl/>
              <w:kinsoku/>
              <w:wordWrap/>
              <w:overflowPunct/>
              <w:topLinePunct w:val="0"/>
              <w:autoSpaceDE/>
              <w:autoSpaceDN/>
              <w:bidi w:val="0"/>
              <w:snapToGrid/>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65" w:type="pct"/>
            <w:gridSpan w:val="3"/>
            <w:vAlign w:val="center"/>
          </w:tcPr>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118" w:type="pct"/>
            <w:gridSpan w:val="2"/>
            <w:vAlign w:val="top"/>
          </w:tcPr>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（第15—20天）</w:t>
            </w:r>
          </w:p>
        </w:tc>
        <w:tc>
          <w:tcPr>
            <w:tcW w:w="2516" w:type="pct"/>
            <w:gridSpan w:val="3"/>
            <w:vAlign w:val="top"/>
          </w:tcPr>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365" w:type="pct"/>
            <w:gridSpan w:val="3"/>
            <w:vAlign w:val="center"/>
          </w:tcPr>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2118" w:type="pct"/>
            <w:gridSpan w:val="2"/>
          </w:tcPr>
          <w:p>
            <w:pPr>
              <w:keepNext w:val="0"/>
              <w:keepLines w:val="0"/>
              <w:pageBreakBefore w:val="0"/>
              <w:kinsoku/>
              <w:wordWrap/>
              <w:topLinePunct w:val="0"/>
              <w:autoSpaceDE/>
              <w:autoSpaceDN/>
              <w:bidi w:val="0"/>
              <w:snapToGrid/>
              <w:spacing w:line="240" w:lineRule="exact"/>
              <w:ind w:left="316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topLinePunct w:val="0"/>
              <w:autoSpaceDE/>
              <w:autoSpaceDN/>
              <w:bidi w:val="0"/>
              <w:snapToGrid/>
              <w:spacing w:line="240" w:lineRule="exact"/>
              <w:ind w:left="316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516" w:type="pct"/>
            <w:gridSpan w:val="3"/>
          </w:tcPr>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365" w:type="pct"/>
            <w:gridSpan w:val="3"/>
            <w:vAlign w:val="center"/>
          </w:tcPr>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2118" w:type="pct"/>
            <w:gridSpan w:val="2"/>
          </w:tcPr>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516" w:type="pct"/>
            <w:gridSpan w:val="3"/>
          </w:tcPr>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365" w:type="pct"/>
            <w:gridSpan w:val="3"/>
            <w:vAlign w:val="center"/>
          </w:tcPr>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napToGrid/>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118" w:type="pct"/>
            <w:gridSpan w:val="2"/>
          </w:tcPr>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topLinePunct w:val="0"/>
              <w:autoSpaceDE/>
              <w:autoSpaceDN/>
              <w:bidi w:val="0"/>
              <w:snapToGrid/>
              <w:spacing w:line="240" w:lineRule="exact"/>
              <w:ind w:left="316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□指导外固定器具自我护理</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516" w:type="pct"/>
            <w:gridSpan w:val="3"/>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5" w:type="pct"/>
            <w:gridSpan w:val="3"/>
            <w:vAlign w:val="center"/>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118" w:type="pct"/>
            <w:gridSpan w:val="2"/>
            <w:vAlign w:val="center"/>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2516" w:type="pct"/>
            <w:gridSpan w:val="3"/>
            <w:vAlign w:val="center"/>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5" w:type="pct"/>
            <w:gridSpan w:val="3"/>
            <w:vAlign w:val="center"/>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18" w:type="pct"/>
            <w:gridSpan w:val="2"/>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516" w:type="pct"/>
            <w:gridSpan w:val="3"/>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5" w:type="pct"/>
            <w:gridSpan w:val="3"/>
            <w:vAlign w:val="center"/>
          </w:tcPr>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18" w:type="pct"/>
            <w:gridSpan w:val="2"/>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516" w:type="pct"/>
            <w:gridSpan w:val="3"/>
          </w:tcPr>
          <w:p>
            <w:pPr>
              <w:keepNext w:val="0"/>
              <w:keepLines w:val="0"/>
              <w:pageBreakBefore w:val="0"/>
              <w:widowControl/>
              <w:kinsoku/>
              <w:wordWrap/>
              <w:topLinePunct w:val="0"/>
              <w:autoSpaceDE/>
              <w:autoSpaceDN/>
              <w:bidi w:val="0"/>
              <w:snapToGrid/>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ind w:firstLine="720" w:firstLineChars="225"/>
        <w:jc w:val="both"/>
        <w:rPr>
          <w:rFonts w:hint="default" w:ascii="Times New Roman" w:hAnsi="Times New Roman" w:eastAsia="仿宋_GB2312" w:cs="Times New Roman"/>
          <w:color w:val="auto"/>
          <w:sz w:val="32"/>
        </w:rPr>
      </w:pPr>
    </w:p>
    <w:p>
      <w:pPr>
        <w:keepNext w:val="0"/>
        <w:keepLines w:val="0"/>
        <w:pageBreakBefore w:val="0"/>
        <w:kinsoku/>
        <w:wordWrap/>
        <w:topLinePunct w:val="0"/>
        <w:autoSpaceDE/>
        <w:autoSpaceDN/>
        <w:bidi w:val="0"/>
        <w:spacing w:line="592" w:lineRule="exact"/>
        <w:ind w:firstLine="720" w:firstLineChars="225"/>
        <w:jc w:val="both"/>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rPr>
        <w:br w:type="page"/>
      </w:r>
      <w:r>
        <w:rPr>
          <w:rFonts w:hint="default" w:ascii="Times New Roman" w:hAnsi="Times New Roman" w:eastAsia="方正小标宋简体" w:cs="Times New Roman"/>
          <w:color w:val="auto"/>
          <w:sz w:val="44"/>
          <w:szCs w:val="44"/>
        </w:rPr>
        <w:t>胫骨干骨折中医临床路径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一、胫骨干骨折中医临床路径标准住院流程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第一诊断为胫骨干骨折（TCD编码：BGG000、ICD-10编码：S82.200）。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（1）中医诊断标准：参照中华人民共和国行业标准《中医病证诊断疗效标准》（ZY/T001.9-94）及《中医骨伤科学》第十一版（黄桂成等主编，中国中医药出版社，2021年）。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（1）胫骨干上1/3骨折；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（2）胫骨干中1/3骨折；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（3）胫骨干下1/3骨折。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参照国家中医药管理局重点专科协作组制定的《胫腓骨骨折中医诊疗方案（试行）》。胫骨干骨折临床常见证候：</w:t>
      </w:r>
    </w:p>
    <w:p>
      <w:pPr>
        <w:keepNext w:val="0"/>
        <w:keepLines w:val="0"/>
        <w:pageBreakBefore w:val="0"/>
        <w:numPr>
          <w:ilvl w:val="0"/>
          <w:numId w:val="3"/>
        </w:numPr>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血瘀气滞证</w:t>
      </w:r>
    </w:p>
    <w:p>
      <w:pPr>
        <w:keepNext w:val="0"/>
        <w:keepLines w:val="0"/>
        <w:pageBreakBefore w:val="0"/>
        <w:numPr>
          <w:ilvl w:val="0"/>
          <w:numId w:val="3"/>
        </w:numPr>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瘀血凝滞证</w:t>
      </w:r>
    </w:p>
    <w:p>
      <w:pPr>
        <w:keepNext w:val="0"/>
        <w:keepLines w:val="0"/>
        <w:pageBreakBefore w:val="0"/>
        <w:numPr>
          <w:ilvl w:val="0"/>
          <w:numId w:val="3"/>
        </w:numPr>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参照“国家中医药管理局”十四五”规划教材《中医正骨学》第十一版（冷向阳等主编，中国中医药出版社，2021年）及《中医骨伤科学》第十一版（黄桂成等主编，中国中医药出版社，2021年）。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诊断明确，第一诊断为胫骨干骨折。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第一诊断必须符合胫骨干骨折（TCD编码：BGG000，ICD-10编码：S82.200）的患者。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外伤引起的单纯性、新鲜闭合胫骨干骨折，有闭合复位外固定适应证。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（1）合并筋膜间室综合征等。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（2）多发性骨折。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（5）电解质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（6）血糖、血脂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（10）胫腓骨正侧位X线片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（11）双下肢深静脉彩超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可选择的检查项目：根据病情需要而定，如CT、MRI、心脏彩超、动态心电图、肺功能检查等。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手法复位治疗：适用于伤后2-3小时内肿胀未明显、有移位的胫骨干骨折。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（1）夹板固定：适用于复位后稳定的骨折。夹板固定术时，注意保护腓骨小头，避免尺神经损伤。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（2）石膏固定：适用于无移位稳定骨折或不全骨折。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（3）持续牵引：适用于单纯夹板固定困难的不稳定性、患肢肿胀严重及皮肤挫伤的胫骨干骨折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1.骨折局部肿胀减轻、疼痛缓解；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2.X线片复查达到功能复位或解剖复位标准；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3.膝踝关节活动良好；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1.手法复位后骨折对位对线未达到功能复位的要求或合并有重大血管、神经损伤等并发症，需要手术者退出本路径。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2.合并有心脑血管疾病等在住院期间病情加重，导致住院时间延长、费用增加者退出本路径。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3.发生药物反应等不良反应需特殊处理，导致住院时间延长、费用增加者退出本路径。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color w:val="auto"/>
          <w:sz w:val="32"/>
          <w:szCs w:val="32"/>
        </w:rPr>
        <w:t>二、胫骨干骨折中医临床路径住院表单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适用对象：第一诊断为胫骨干骨折（TCD编码：BGG000，ICD-10编码：S82.200）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78"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3154"/>
        <w:gridCol w:w="260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1"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84"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474"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390" w:type="pct"/>
            <w:vAlign w:val="top"/>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1"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84"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474"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390"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1"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84"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tc>
        <w:tc>
          <w:tcPr>
            <w:tcW w:w="1474"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390"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1"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84"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474"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90"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51"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8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47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90"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51"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47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90"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51" w:type="pct"/>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474"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90"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07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03"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303" w:type="pct"/>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93"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93"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9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303"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9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0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30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93" w:type="pct"/>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3"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93" w:type="pct"/>
            <w:vAlign w:val="center"/>
          </w:tcPr>
          <w:p>
            <w:pPr>
              <w:keepNext w:val="0"/>
              <w:keepLines w:val="0"/>
              <w:pageBreakBefore w:val="0"/>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3"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overflowPunct/>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val="0"/>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胫骨平台骨折中医临床路径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一、胫骨平台骨折中医临床路径标准住院流程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第一诊断为胫骨平台骨折（TCD-10编码为：BGG000；ICD-10编码为：S82.100）。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（1）中医诊断：参照中华人民共和国中医药行业标准《中医病证诊断疗效标准》（ZY/T001.9-94）及全国高等中医药院校规划教材《中医正骨学》第十一版（冷向阳、马勇主编，中国中医药出版社，2021年）。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（2）西医诊断：参照《实用骨科学》第四版修订本（胥少汀主编，人民军医出版社，2019年）和《临床诊疗指南一骨科分册》（中华医学会编著，人民卫生出版社，2009年）。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（1）早期：伤后1～2周内。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（2）中期：伤后3周～4周。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（3）后期：伤后4周以上。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（1）根据《实用骨科学》第四版修订本（胥少汀主编，人民军医出版社，2019年），采用Schatzker分型系统分型：</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Ⅰ型:外侧平台单纯劈裂骨折。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Ⅱ型:外侧平台劈裂合并压缩性骨折。</w:t>
      </w:r>
    </w:p>
    <w:p>
      <w:pPr>
        <w:keepNext w:val="0"/>
        <w:keepLines w:val="0"/>
        <w:pageBreakBefore w:val="0"/>
        <w:widowControl w:val="0"/>
        <w:kinsoku/>
        <w:wordWrap/>
        <w:overflowPunct w:val="0"/>
        <w:topLinePunct w:val="0"/>
        <w:autoSpaceDE/>
        <w:autoSpaceDN/>
        <w:bidi w:val="0"/>
        <w:adjustRightInd/>
        <w:snapToGrid/>
        <w:spacing w:line="570" w:lineRule="exact"/>
        <w:ind w:firstLine="596" w:firstLineChars="200"/>
        <w:jc w:val="both"/>
        <w:textAlignment w:val="auto"/>
        <w:rPr>
          <w:rFonts w:hint="default" w:ascii="Times New Roman" w:hAnsi="Times New Roman" w:eastAsia="仿宋_GB2312" w:cs="Times New Roman"/>
          <w:color w:val="auto"/>
          <w:spacing w:val="-11"/>
          <w:sz w:val="32"/>
        </w:rPr>
      </w:pPr>
      <w:r>
        <w:rPr>
          <w:rFonts w:hint="default" w:ascii="Times New Roman" w:hAnsi="Times New Roman" w:eastAsia="仿宋_GB2312" w:cs="Times New Roman"/>
          <w:color w:val="auto"/>
          <w:spacing w:val="-11"/>
          <w:sz w:val="32"/>
        </w:rPr>
        <w:t>Ⅲ型:外侧平台单纯压缩性骨折（单纯外侧平台中央压缩骨折）。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Ⅳ型:胫骨内侧平台劈裂骨折或塌陷骨折。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Ⅴ型:胫骨内、外髁骨折。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Ⅵ型:胫骨平台骨折合并干骺端粉碎性骨折。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Schatzker分型的研究基础主要是胫骨平台的X线平片，存在重叠效应，在同一平面上可能会出现正常骨质遮挡骨折部位，干扰视觉，易导致误诊。加用CT检查可提高Schatzker分型的可信度。此外，还有AO分型、三柱分型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4.证候诊断</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参照中华人民共和国中医药行业标准《中医病证诊断疗效标准》证候诊断：参照国家中医药管理局重点专科协作组制定的《胫骨平台骨折中医诊疗方案（试行）》。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胫骨平台骨折临床常见证候：</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（2）筋骨未愈证；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（3）气血亏虚证；</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（三）治疗方案的选择</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参照国家中医药管理局重点专科协作组制定的《胫骨平台骨折中医诊疗方案（试行）》。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1.诊断明确，第一诊断为胫骨平台骨折。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（四）标准住院日为≥10天。</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（五）进入路径标准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1.第一诊断必须符合胫骨平台骨折诊断标准（TCD编码：BGG000骨折病；ICD-10编码：S82.100胫骨平台骨折）的新鲜骨折患者。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2.外伤引起的单纯性闭合性新鲜胫骨平台骨折。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3.当患者同时具有其他疾病，但在住院期间不需特殊处理也不影响第一诊断的临床路径流程实施时，可以进入本路径。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4.除外以下情况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（1）病理性骨折。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（4）合并其它部位骨折和损伤。</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（六）中医证候学观察</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（七）入院检查项目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1.必需的检查项目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（3）粪便常规+隐血OB</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（5）电解质</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（6）血糖、血脂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（7）心肌酶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（8）凝血功能+D二聚体</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（9）心电图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（10）胸部X线片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（11）膝关节正侧位X线片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（12）双下肢深静脉彩超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2.可选择的检查项目：根据病情需要而定，如膝关节CT或MRI、心脏彩超、ESR等。</w:t>
      </w:r>
    </w:p>
    <w:p>
      <w:pPr>
        <w:pStyle w:val="28"/>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color w:val="auto"/>
        </w:rPr>
      </w:pPr>
      <w:r>
        <w:rPr>
          <w:rFonts w:hint="default"/>
          <w:color w:val="auto"/>
        </w:rPr>
        <w:t>（八）治疗方法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1.整复和固定。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无移位或有移位的骨折经牵引和手法复位后可行石膏外固定术。</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2.辨证选择口服中药汤剂、中成药。</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（1）气滞血瘀证：行气活血、消肿止痛。</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（2）筋骨未愈证：和营止痛。</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（3）气血亏虚证：补益气血。</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4.物理疗法，根据病人情况选用。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2.膝关节活动尚好；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1.因并发其他部位损伤致使治疗时间或卧床时间延长，增加住院费用。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2.合并心血管、呼吸系统、内分泌等其他内科疾病导致治疗时间延长，增加住院费用。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3.治疗过程中发生了病情变化，出现中风、DVT等严重并发症，退出本路径。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24"/>
        </w:rPr>
      </w:pPr>
      <w:r>
        <w:rPr>
          <w:rFonts w:hint="default" w:ascii="Times New Roman" w:hAnsi="Times New Roman" w:eastAsia="仿宋_GB2312" w:cs="Times New Roman"/>
          <w:bCs/>
          <w:color w:val="auto"/>
          <w:sz w:val="32"/>
        </w:rPr>
        <w:br w:type="page"/>
      </w:r>
      <w:r>
        <w:rPr>
          <w:rFonts w:hint="default" w:ascii="Times New Roman" w:hAnsi="Times New Roman" w:eastAsia="黑体" w:cs="Times New Roman"/>
          <w:bCs/>
          <w:color w:val="auto"/>
          <w:sz w:val="32"/>
          <w:szCs w:val="32"/>
        </w:rPr>
        <w:t>二、胫骨平台骨折临床路径住院表单</w:t>
      </w:r>
    </w:p>
    <w:p>
      <w:pPr>
        <w:keepNext w:val="0"/>
        <w:keepLines w:val="0"/>
        <w:pageBreakBefore w:val="0"/>
        <w:widowControl w:val="0"/>
        <w:kinsoku/>
        <w:wordWrap/>
        <w:overflowPunct w:val="0"/>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color w:val="auto"/>
          <w:spacing w:val="-6"/>
          <w:sz w:val="20"/>
          <w:szCs w:val="20"/>
        </w:rPr>
      </w:pPr>
      <w:r>
        <w:rPr>
          <w:rFonts w:hint="eastAsia" w:ascii="方正书宋简体" w:hAnsi="方正书宋简体" w:eastAsia="方正书宋简体" w:cs="方正书宋简体"/>
          <w:color w:val="auto"/>
          <w:sz w:val="20"/>
          <w:szCs w:val="20"/>
        </w:rPr>
        <w:t>适用对象：</w:t>
      </w:r>
      <w:r>
        <w:rPr>
          <w:rFonts w:hint="eastAsia" w:ascii="方正书宋简体" w:hAnsi="方正书宋简体" w:eastAsia="方正书宋简体" w:cs="方正书宋简体"/>
          <w:color w:val="auto"/>
          <w:spacing w:val="-6"/>
          <w:sz w:val="20"/>
          <w:szCs w:val="20"/>
        </w:rPr>
        <w:t>第一诊断：胫骨平台骨折（TCD编码：BGG000骨折病；ICD-10编码：S82.100胫骨平台骨折）</w:t>
      </w:r>
    </w:p>
    <w:p>
      <w:pPr>
        <w:keepNext w:val="0"/>
        <w:keepLines w:val="0"/>
        <w:pageBreakBefore w:val="0"/>
        <w:widowControl w:val="0"/>
        <w:kinsoku/>
        <w:wordWrap/>
        <w:overflowPunct w:val="0"/>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患者姓名：</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性别：</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年龄：</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岁  门诊号：</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 xml:space="preserve"> 住院号：</w:t>
      </w:r>
      <w:r>
        <w:rPr>
          <w:rFonts w:hint="eastAsia" w:ascii="方正书宋简体" w:hAnsi="方正书宋简体" w:eastAsia="方正书宋简体" w:cs="方正书宋简体"/>
          <w:bCs/>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bCs/>
          <w:color w:val="auto"/>
          <w:sz w:val="20"/>
          <w:szCs w:val="20"/>
        </w:rPr>
      </w:pPr>
      <w:r>
        <w:rPr>
          <w:rFonts w:hint="eastAsia" w:ascii="方正书宋简体" w:hAnsi="方正书宋简体" w:eastAsia="方正书宋简体" w:cs="方正书宋简体"/>
          <w:bCs/>
          <w:color w:val="auto"/>
          <w:sz w:val="20"/>
          <w:szCs w:val="20"/>
        </w:rPr>
        <w:t>发病时间：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住院日期：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 出院日期：</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年</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月</w:t>
      </w:r>
      <w:r>
        <w:rPr>
          <w:rFonts w:hint="eastAsia" w:ascii="方正书宋简体" w:hAnsi="方正书宋简体" w:eastAsia="方正书宋简体" w:cs="方正书宋简体"/>
          <w:bCs/>
          <w:color w:val="auto"/>
          <w:sz w:val="20"/>
          <w:szCs w:val="20"/>
          <w:u w:val="single"/>
        </w:rPr>
        <w:t xml:space="preserve">  </w:t>
      </w:r>
      <w:r>
        <w:rPr>
          <w:rFonts w:hint="eastAsia" w:ascii="方正书宋简体" w:hAnsi="方正书宋简体" w:eastAsia="方正书宋简体" w:cs="方正书宋简体"/>
          <w:bCs/>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天</w:t>
      </w:r>
    </w:p>
    <w:tbl>
      <w:tblPr>
        <w:tblStyle w:val="9"/>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
        <w:gridCol w:w="477"/>
        <w:gridCol w:w="165"/>
        <w:gridCol w:w="2802"/>
        <w:gridCol w:w="1011"/>
        <w:gridCol w:w="2108"/>
        <w:gridCol w:w="229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672" w:type="pct"/>
            <w:gridSpan w:val="2"/>
            <w:vAlign w:val="top"/>
          </w:tcPr>
          <w:p>
            <w:pPr>
              <w:keepNext w:val="0"/>
              <w:keepLines w:val="0"/>
              <w:pageBreakBefore w:val="0"/>
              <w:widowControl/>
              <w:kinsoku/>
              <w:wordWrap/>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758" w:type="pct"/>
            <w:gridSpan w:val="2"/>
            <w:vAlign w:val="top"/>
          </w:tcPr>
          <w:p>
            <w:pPr>
              <w:keepNext w:val="0"/>
              <w:keepLines w:val="0"/>
              <w:pageBreakBefore w:val="0"/>
              <w:widowControl/>
              <w:kinsoku/>
              <w:wordWrap/>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第2—5天）</w:t>
            </w:r>
          </w:p>
        </w:tc>
        <w:tc>
          <w:tcPr>
            <w:tcW w:w="1295" w:type="pct"/>
            <w:gridSpan w:val="2"/>
            <w:vAlign w:val="top"/>
          </w:tcPr>
          <w:p>
            <w:pPr>
              <w:keepNext w:val="0"/>
              <w:keepLines w:val="0"/>
              <w:pageBreakBefore w:val="0"/>
              <w:widowControl/>
              <w:kinsoku/>
              <w:wordWrap/>
              <w:topLinePunct w:val="0"/>
              <w:autoSpaceDE/>
              <w:autoSpaceDN/>
              <w:bidi w:val="0"/>
              <w:adjustRightIn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（第6—14天）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1672"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topLinePunct w:val="0"/>
              <w:autoSpaceDE/>
              <w:autoSpaceDN/>
              <w:bidi w:val="0"/>
              <w:adjustRightInd w:val="0"/>
              <w:spacing w:line="240" w:lineRule="exact"/>
              <w:ind w:left="316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□密切观察、防治并发症</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□患肢临时固定</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□中医四诊信息采集</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□进行中医证候判断</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□开具中医综合治疗初步方案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bCs/>
                <w:color w:val="auto"/>
                <w:sz w:val="18"/>
                <w:szCs w:val="18"/>
              </w:rPr>
            </w:pPr>
          </w:p>
        </w:tc>
        <w:tc>
          <w:tcPr>
            <w:tcW w:w="1758" w:type="pct"/>
            <w:gridSpan w:val="2"/>
          </w:tcPr>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□完成上级医师查房及记录</w:t>
            </w:r>
          </w:p>
          <w:p>
            <w:pPr>
              <w:keepNext w:val="0"/>
              <w:keepLines w:val="0"/>
              <w:pageBreakBefore w:val="0"/>
              <w:kinsoku/>
              <w:wordWrap/>
              <w:topLinePunct w:val="0"/>
              <w:autoSpaceDE/>
              <w:autoSpaceDN/>
              <w:bidi w:val="0"/>
              <w:adjustRightInd w:val="0"/>
              <w:spacing w:line="240" w:lineRule="exact"/>
              <w:ind w:left="31680" w:right="-63" w:rightChars="-30" w:hanging="90" w:hangingChars="5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kinsoku/>
              <w:wordWrap/>
              <w:topLinePunct w:val="0"/>
              <w:autoSpaceDE/>
              <w:autoSpaceDN/>
              <w:bidi w:val="0"/>
              <w:adjustRightInd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kinsoku/>
              <w:wordWrap/>
              <w:topLinePunct w:val="0"/>
              <w:autoSpaceDE/>
              <w:autoSpaceDN/>
              <w:bidi w:val="0"/>
              <w:adjustRightInd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kinsoku/>
              <w:wordWrap/>
              <w:topLinePunct w:val="0"/>
              <w:autoSpaceDE/>
              <w:autoSpaceDN/>
              <w:bidi w:val="0"/>
              <w:adjustRightIn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kinsoku/>
              <w:wordWrap/>
              <w:topLinePunct w:val="0"/>
              <w:autoSpaceDE/>
              <w:autoSpaceDN/>
              <w:bidi w:val="0"/>
              <w:adjustRightInd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□观察血运、感觉、功能活动、外固定松紧度等情况</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□必要时行皮牵或骨牵引</w:t>
            </w:r>
          </w:p>
        </w:tc>
        <w:tc>
          <w:tcPr>
            <w:tcW w:w="1295" w:type="pct"/>
            <w:gridSpan w:val="2"/>
          </w:tcPr>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1672" w:type="pct"/>
            <w:gridSpan w:val="2"/>
          </w:tcPr>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□大便常规</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□肾功能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□电解质</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□血糖</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□胸部透视或胸部X线片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□心电图  </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□膝关节X线片</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□下肢血管彩超</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□床旁心脏彩超（必要时）</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□骨密度检查（必要时）</w:t>
            </w:r>
          </w:p>
        </w:tc>
        <w:tc>
          <w:tcPr>
            <w:tcW w:w="1758"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pStyle w:val="5"/>
              <w:keepNext w:val="0"/>
              <w:keepLines w:val="0"/>
              <w:pageBreakBefore w:val="0"/>
              <w:kinsoku/>
              <w:wordWrap/>
              <w:topLinePunct w:val="0"/>
              <w:autoSpaceDE/>
              <w:autoSpaceDN/>
              <w:bidi w:val="0"/>
              <w:spacing w:after="0" w:line="240" w:lineRule="exact"/>
              <w:ind w:left="0" w:leftChars="0"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pacing w:val="-6"/>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根据会诊可是要求开检查单或化验单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□镇痛等对症处理</w:t>
            </w:r>
          </w:p>
        </w:tc>
        <w:tc>
          <w:tcPr>
            <w:tcW w:w="1295"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672"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758"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中医情志疏导、健康教育与生活护理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295" w:type="pct"/>
            <w:gridSpan w:val="2"/>
          </w:tcPr>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0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672" w:type="pct"/>
            <w:gridSpan w:val="2"/>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758" w:type="pct"/>
            <w:gridSpan w:val="2"/>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295" w:type="pct"/>
            <w:gridSpan w:val="2"/>
          </w:tcPr>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adjustRightInd/>
              <w:snapToGrid/>
              <w:spacing w:line="20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gridSpan w:val="2"/>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72"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758"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295"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73" w:type="pct"/>
            <w:gridSpan w:val="2"/>
            <w:vAlign w:val="center"/>
          </w:tcPr>
          <w:p>
            <w:pPr>
              <w:keepNext w:val="0"/>
              <w:keepLines w:val="0"/>
              <w:pageBreakBefore w:val="0"/>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adjustRightInd/>
              <w:snapToGrid/>
              <w:spacing w:line="240" w:lineRule="exact"/>
              <w:ind w:left="-63" w:leftChars="-30"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672"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758"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295"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432" w:hRule="atLeast"/>
          <w:jc w:val="center"/>
        </w:trPr>
        <w:tc>
          <w:tcPr>
            <w:tcW w:w="362"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149" w:type="pct"/>
            <w:gridSpan w:val="2"/>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（第15—20天）</w:t>
            </w:r>
          </w:p>
        </w:tc>
        <w:tc>
          <w:tcPr>
            <w:tcW w:w="2479" w:type="pct"/>
            <w:gridSpan w:val="2"/>
            <w:vAlign w:val="top"/>
          </w:tcPr>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（第21天）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1554" w:hRule="atLeast"/>
          <w:jc w:val="center"/>
        </w:trPr>
        <w:tc>
          <w:tcPr>
            <w:tcW w:w="362" w:type="pct"/>
            <w:gridSpan w:val="2"/>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要</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诊</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疗</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作</w:t>
            </w:r>
          </w:p>
        </w:tc>
        <w:tc>
          <w:tcPr>
            <w:tcW w:w="2149" w:type="pct"/>
            <w:gridSpan w:val="2"/>
          </w:tcPr>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479" w:type="pct"/>
            <w:gridSpan w:val="2"/>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2305" w:hRule="atLeast"/>
          <w:jc w:val="center"/>
        </w:trPr>
        <w:tc>
          <w:tcPr>
            <w:tcW w:w="362" w:type="pct"/>
            <w:gridSpan w:val="2"/>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点</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嘱</w:t>
            </w:r>
          </w:p>
        </w:tc>
        <w:tc>
          <w:tcPr>
            <w:tcW w:w="2149" w:type="pct"/>
            <w:gridSpan w:val="2"/>
            <w:vAlign w:val="top"/>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479" w:type="pct"/>
            <w:gridSpan w:val="2"/>
            <w:vAlign w:val="top"/>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2261" w:hRule="atLeast"/>
          <w:jc w:val="center"/>
        </w:trPr>
        <w:tc>
          <w:tcPr>
            <w:tcW w:w="362"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149" w:type="pct"/>
            <w:gridSpan w:val="2"/>
            <w:vAlign w:val="top"/>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topLinePunct w:val="0"/>
              <w:autoSpaceDE/>
              <w:autoSpaceDN/>
              <w:bidi w:val="0"/>
              <w:spacing w:line="240" w:lineRule="exact"/>
              <w:ind w:left="316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□指导外固定器具自我护理</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479" w:type="pct"/>
            <w:gridSpan w:val="2"/>
            <w:vAlign w:val="top"/>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724" w:hRule="atLeast"/>
          <w:jc w:val="center"/>
        </w:trPr>
        <w:tc>
          <w:tcPr>
            <w:tcW w:w="362"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149"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2479"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1020" w:hRule="atLeast"/>
          <w:jc w:val="center"/>
        </w:trPr>
        <w:tc>
          <w:tcPr>
            <w:tcW w:w="362" w:type="pct"/>
            <w:gridSpan w:val="2"/>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49"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479"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4" w:type="pct"/>
          <w:wAfter w:w="3" w:type="pct"/>
          <w:trHeight w:val="1020" w:hRule="atLeast"/>
          <w:jc w:val="center"/>
        </w:trPr>
        <w:tc>
          <w:tcPr>
            <w:tcW w:w="362" w:type="pct"/>
            <w:gridSpan w:val="2"/>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149"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479" w:type="pct"/>
            <w:gridSpan w:val="2"/>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widowControl/>
        <w:kinsoku/>
        <w:wordWrap/>
        <w:topLinePunct w:val="0"/>
        <w:autoSpaceDE/>
        <w:autoSpaceDN/>
        <w:bidi w:val="0"/>
        <w:spacing w:line="592" w:lineRule="exact"/>
        <w:ind w:left="0" w:leftChars="0" w:right="0" w:rightChars="0" w:firstLine="0" w:firstLineChars="0"/>
        <w:jc w:val="center"/>
        <w:rPr>
          <w:rFonts w:hint="default" w:ascii="Times New Roman" w:hAnsi="Times New Roman" w:eastAsia="方正小标宋简体" w:cs="Times New Roman"/>
          <w:color w:val="auto"/>
          <w:sz w:val="36"/>
          <w:szCs w:val="36"/>
        </w:rPr>
      </w:pPr>
      <w:r>
        <w:rPr>
          <w:rFonts w:hint="default" w:ascii="Times New Roman" w:hAnsi="Times New Roman" w:cs="Times New Roman"/>
          <w:color w:val="auto"/>
          <w:kern w:val="0"/>
        </w:rPr>
        <w:br w:type="page"/>
      </w:r>
      <w:r>
        <w:rPr>
          <w:rFonts w:hint="default" w:ascii="Times New Roman" w:hAnsi="Times New Roman" w:eastAsia="方正小标宋简体" w:cs="Times New Roman"/>
          <w:color w:val="auto"/>
          <w:sz w:val="44"/>
          <w:szCs w:val="44"/>
        </w:rPr>
        <w:t>踝部骨折中医临床路径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一、踝部骨折中医临床路径标准住院流程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第一诊断为踝部骨折（TCD编码：BGG000、ICD-10编码：S82.80）。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疾病分期及辩证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（2）中期：伤后3周～6周。瘀血凝滞证：和营生新，接骨续筋。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（3）晚期：伤后7周及以上。肝肾不足证：补益肝肾、强壮筋骨。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（1）根据损伤机制分为：内翻损伤、外翻损伤</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（2）根据骨折脱位程度：I度：单踝骨折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II度：双踝骨折、距骨轻度脱位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III度：三踝骨折、距骨脱位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w:t>
      </w:r>
      <w:r>
        <w:rPr>
          <w:rFonts w:hint="eastAsia"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参照“国家中医药管理局‘十一五’重点专科协作组踝部骨折诊疗方案”。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踝部骨折临床常见的证型：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参照“国家中医药管理局‘十一五’重点专科协作组踝部骨折诊疗方案”。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1．诊断明确，第一诊断为踝部骨折。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第一诊断必须符合踝部骨折（TCD编码：BGG000、ICD-10编码：S82.80）的患者。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外伤引起的单纯性、新鲜闭合踝部骨折，有闭合复位外固定适应证。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（9）踝关节正位（正侧位）X线片、踝关节CT、踝部MRI</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可选择的检查项目：根据病情需要而定，如血脂常规、电解质等。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1.整复和固定。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无移位或有移位的骨折经牵引和手法复位后可行石膏外固定术。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2.辨证选择口服中药汤剂、中成药。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（1）气滞血瘀证：行气活血。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（2）瘀血凝滞证：活血化瘀。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4.物理疗法，根据病人情况选用。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3.踝关节及跖趾关节活动良好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闭合复位后骨折对位对线差，或合并血管、神经损伤，骨缺损；闭合复位后不稳定或复位失败等无法通过手法闭合复位进行治疗者需行手术治疗时，退出本路径。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jc w:val="both"/>
        <w:textAlignment w:val="auto"/>
        <w:rPr>
          <w:rFonts w:hint="eastAsia" w:ascii="方正书宋简体" w:hAnsi="方正书宋简体" w:eastAsia="方正书宋简体" w:cs="方正书宋简体"/>
          <w:bCs/>
          <w:color w:val="auto"/>
          <w:sz w:val="18"/>
          <w:szCs w:val="18"/>
        </w:rPr>
      </w:pPr>
      <w:r>
        <w:rPr>
          <w:rFonts w:hint="default" w:ascii="Times New Roman" w:hAnsi="Times New Roman" w:eastAsia="仿宋_GB2312" w:cs="Times New Roman"/>
          <w:color w:val="auto"/>
          <w:sz w:val="32"/>
        </w:rPr>
        <w:br w:type="page"/>
      </w:r>
      <w:r>
        <w:rPr>
          <w:rFonts w:hint="eastAsia" w:ascii="黑体" w:hAnsi="黑体" w:eastAsia="黑体" w:cs="黑体"/>
          <w:bCs/>
          <w:color w:val="auto"/>
          <w:sz w:val="32"/>
          <w:szCs w:val="32"/>
        </w:rPr>
        <w:t>二、踝部骨折中医临床路径住院表单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vertAlign w:val="baseline"/>
        </w:rPr>
      </w:pPr>
      <w:r>
        <w:rPr>
          <w:rFonts w:hint="eastAsia" w:ascii="方正书宋简体" w:hAnsi="方正书宋简体" w:eastAsia="方正书宋简体" w:cs="方正书宋简体"/>
          <w:color w:val="auto"/>
          <w:sz w:val="20"/>
          <w:szCs w:val="20"/>
          <w:vertAlign w:val="baseline"/>
        </w:rPr>
        <w:t>适用对象：第一诊断为踝部骨折（TCD编码：BGG000、ICD-10编码：S82.80）</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vertAlign w:val="baseline"/>
        </w:rPr>
      </w:pPr>
      <w:r>
        <w:rPr>
          <w:rFonts w:hint="eastAsia" w:ascii="方正书宋简体" w:hAnsi="方正书宋简体" w:eastAsia="方正书宋简体" w:cs="方正书宋简体"/>
          <w:color w:val="auto"/>
          <w:sz w:val="20"/>
          <w:szCs w:val="20"/>
          <w:vertAlign w:val="baseline"/>
        </w:rPr>
        <w:t>患者姓名：</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性别：</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年龄：</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门诊号：</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住院号：</w:t>
      </w:r>
      <w:r>
        <w:rPr>
          <w:rFonts w:hint="eastAsia" w:ascii="方正书宋简体" w:hAnsi="方正书宋简体" w:eastAsia="方正书宋简体" w:cs="方正书宋简体"/>
          <w:color w:val="auto"/>
          <w:sz w:val="20"/>
          <w:szCs w:val="20"/>
          <w:u w:val="single"/>
          <w:vertAlign w:val="baselin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vertAlign w:val="baseline"/>
        </w:rPr>
      </w:pPr>
      <w:r>
        <w:rPr>
          <w:rFonts w:hint="eastAsia" w:ascii="方正书宋简体" w:hAnsi="方正书宋简体" w:eastAsia="方正书宋简体" w:cs="方正书宋简体"/>
          <w:color w:val="auto"/>
          <w:sz w:val="20"/>
          <w:szCs w:val="20"/>
          <w:vertAlign w:val="baseline"/>
        </w:rPr>
        <w:t>发病时间：</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年</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月</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日</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时 住院日期：</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年</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月</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日 出院日期：</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年</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月</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vertAlign w:val="baseline"/>
        </w:rPr>
      </w:pPr>
      <w:r>
        <w:rPr>
          <w:rFonts w:hint="eastAsia" w:ascii="方正书宋简体" w:hAnsi="方正书宋简体" w:eastAsia="方正书宋简体" w:cs="方正书宋简体"/>
          <w:color w:val="auto"/>
          <w:sz w:val="20"/>
          <w:szCs w:val="20"/>
          <w:vertAlign w:val="baseline"/>
        </w:rPr>
        <w:t>标准住院日≥10天               实际住院日：</w:t>
      </w:r>
      <w:r>
        <w:rPr>
          <w:rFonts w:hint="eastAsia" w:ascii="方正书宋简体" w:hAnsi="方正书宋简体" w:eastAsia="方正书宋简体" w:cs="方正书宋简体"/>
          <w:color w:val="auto"/>
          <w:sz w:val="20"/>
          <w:szCs w:val="20"/>
          <w:u w:val="single"/>
          <w:vertAlign w:val="baseline"/>
        </w:rPr>
        <w:t xml:space="preserve">      </w:t>
      </w:r>
      <w:r>
        <w:rPr>
          <w:rFonts w:hint="eastAsia" w:ascii="方正书宋简体" w:hAnsi="方正书宋简体" w:eastAsia="方正书宋简体" w:cs="方正书宋简体"/>
          <w:color w:val="auto"/>
          <w:sz w:val="20"/>
          <w:szCs w:val="20"/>
          <w:vertAlign w:val="baseline"/>
        </w:rPr>
        <w:t xml:space="preserve"> 天 </w:t>
      </w:r>
    </w:p>
    <w:tbl>
      <w:tblPr>
        <w:tblStyle w:val="9"/>
        <w:tblW w:w="4869"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146"/>
        <w:gridCol w:w="280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82"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90"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285" w:type="pct"/>
            <w:vAlign w:val="top"/>
          </w:tcPr>
          <w:p>
            <w:pPr>
              <w:keepNext w:val="0"/>
              <w:keepLines w:val="0"/>
              <w:pageBreakBefore w:val="0"/>
              <w:widowControl/>
              <w:kinsoku/>
              <w:wordWrap/>
              <w:topLinePunct w:val="0"/>
              <w:autoSpaceDE/>
              <w:autoSpaceDN/>
              <w:bidi w:val="0"/>
              <w:adjustRightInd w:val="0"/>
              <w:snapToGrid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left="0" w:leftChars="0" w:right="0" w:rightChars="0" w:firstLine="0" w:firstLineChars="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8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bCs/>
                <w:color w:val="auto"/>
                <w:spacing w:val="-6"/>
                <w:sz w:val="18"/>
                <w:szCs w:val="18"/>
              </w:rPr>
            </w:pPr>
            <w:r>
              <w:rPr>
                <w:rFonts w:hint="eastAsia" w:ascii="方正书宋简体" w:hAnsi="方正书宋简体" w:eastAsia="方正书宋简体" w:cs="方正书宋简体"/>
                <w:bCs/>
                <w:color w:val="auto"/>
                <w:sz w:val="18"/>
                <w:szCs w:val="18"/>
              </w:rPr>
              <w:t>□</w:t>
            </w:r>
            <w:r>
              <w:rPr>
                <w:rFonts w:hint="eastAsia" w:ascii="方正书宋简体" w:hAnsi="方正书宋简体" w:eastAsia="方正书宋简体" w:cs="方正书宋简体"/>
                <w:bCs/>
                <w:color w:val="auto"/>
                <w:spacing w:val="-6"/>
                <w:sz w:val="18"/>
                <w:szCs w:val="18"/>
              </w:rPr>
              <w:t>与家属沟通，交代病情及注意事项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9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28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8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tc>
        <w:tc>
          <w:tcPr>
            <w:tcW w:w="159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28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8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9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285"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8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9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28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41"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9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28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41" w:type="pct"/>
            <w:vAlign w:val="center"/>
          </w:tcPr>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59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1285"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07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2"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03" w:type="pct"/>
            <w:vAlign w:val="center"/>
          </w:tcPr>
          <w:p>
            <w:pPr>
              <w:keepNext w:val="0"/>
              <w:keepLines w:val="0"/>
              <w:pageBreakBefore w:val="0"/>
              <w:widowControl/>
              <w:kinsoku/>
              <w:wordWrap/>
              <w:topLinePunct w:val="0"/>
              <w:autoSpaceDE/>
              <w:autoSpaceDN/>
              <w:bidi w:val="0"/>
              <w:adjustRightInd w:val="0"/>
              <w:snapToGrid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303"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92"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92"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□再次复位（必要时）、调整外固定</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9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03" w:type="pct"/>
          </w:tcPr>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303" w:type="pct"/>
          </w:tcPr>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9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03"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303"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92" w:type="pct"/>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92" w:type="pct"/>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303"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val="0"/>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跖骨骨折中医临床路径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一、跖骨骨折中医临床路径标准住院流程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第一诊断为跖骨骨折（TCD编码：BGG000、ICD-10编码：S92.300）。</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（2）中期：伤后3周～6周。瘀血凝滞证：和营生新，接骨续筋。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（3）晚期：伤后7周及以上。肝肾不足证：补益肝肾、强壮筋骨。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3.分型：按骨折的原因和解剖部位分为：跖骨干骨折、第5跖骨基地部撕脱骨折、跖骨颈疲劳骨折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参照“国家中医药管理局‘十一五’重点专科协作组跖骨骨折诊疗方案”。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踝部骨折临床常见的证型：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参照“国家中医药管理局‘十一五’重点专科协作组跖骨骨折诊疗方案”。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诊断明确，第一诊断为跖骨骨折。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第一诊断必须符合跖骨骨折（TCD编码：BGG000、ICD-10编码：S92.300）的患者。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外伤引起的单纯性、新鲜闭合跖骨骨折，有闭合复位外固定适应证。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（1）合并骨筋膜室综合症需急诊切开减压者。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（9）足正斜位X线片、足部CT、足部MRI</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可选择的检查项目：根据病情需要而定，如血脂常规、电解质等。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1.整复和固定。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无移位或有移位的骨折经牵引和手法复位后可行石膏外固定术。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2.辨证选择口服中药汤剂、中成药。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（1）气滞血瘀证：行气活血。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（2）瘀血凝滞证：活血化瘀。</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外治法：外敷膏药，散剂，水剂等，也可采用熏、洗、灸等方法，早期可用活血化瘀，消肿止痛制剂，如跌打消炎散，如意金黄散等，中晚期宜用温经通络，化瘀止痛，续筋接骨之剂，如中药汤剂海桐皮汤熏洗局部以舒筋通络，有严重张力性水泡和使用伤膏后过敏者应避免使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4.物理疗法，根据病人情况选用。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（1）微波治疗仪：每日1-2次。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（2）场效应治疗仪：每日1-2次。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（3）频谱治疗仪：每日一2次。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（4）脉冲电磁夹板：每日1-2次。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5.对症处理：根据病情需要选择。</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6.内科疾病及原发疾病治疗。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8.护理调摄：辨证施护。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3.踝关节及跖趾关节活动良好；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闭合复位后骨折对位对线差，跖骨头压低，或合并血管、神经损伤，骨筋膜室综合症需急诊切开减压；闭合复位后不稳定或复位失败等无法通过手法闭合复位进行治疗，经评估后需行手术治疗时，退出本路径。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Cs/>
          <w:color w:val="auto"/>
          <w:sz w:val="32"/>
          <w:szCs w:val="32"/>
        </w:rPr>
        <w:t>二、跖骨骨折中医临床路径住院表单</w:t>
      </w:r>
    </w:p>
    <w:p>
      <w:pPr>
        <w:keepNext w:val="0"/>
        <w:keepLines w:val="0"/>
        <w:pageBreakBefore w:val="0"/>
        <w:kinsoku/>
        <w:wordWrap/>
        <w:overflowPunct w:val="0"/>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适用对象：第一诊断为跖骨骨折（TCD编码：BGG000、ICD-10编码：S92.300）</w:t>
      </w:r>
    </w:p>
    <w:p>
      <w:pPr>
        <w:keepNext w:val="0"/>
        <w:keepLines w:val="0"/>
        <w:pageBreakBefore w:val="0"/>
        <w:kinsoku/>
        <w:wordWrap/>
        <w:overflowPunct w:val="0"/>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患者姓名：</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性别：</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年龄：</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门诊号：</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住院号：</w:t>
      </w:r>
      <w:r>
        <w:rPr>
          <w:rFonts w:hint="eastAsia" w:ascii="方正书宋简体" w:hAnsi="方正书宋简体" w:eastAsia="方正书宋简体" w:cs="方正书宋简体"/>
          <w:color w:val="auto"/>
          <w:sz w:val="18"/>
          <w:szCs w:val="18"/>
          <w:u w:val="single"/>
        </w:rPr>
        <w:t xml:space="preserve">         </w:t>
      </w:r>
    </w:p>
    <w:p>
      <w:pPr>
        <w:keepNext w:val="0"/>
        <w:keepLines w:val="0"/>
        <w:pageBreakBefore w:val="0"/>
        <w:kinsoku/>
        <w:wordWrap/>
        <w:overflowPunct w:val="0"/>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发病时间：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时 住院日期：</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 出院日期：</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kinsoku/>
        <w:wordWrap/>
        <w:overflowPunct w:val="0"/>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标准住院日≥10天               实际住院日：</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天 </w:t>
      </w:r>
    </w:p>
    <w:tbl>
      <w:tblPr>
        <w:tblStyle w:val="9"/>
        <w:tblW w:w="4885"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3128"/>
        <w:gridCol w:w="2731"/>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1"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66" w:type="pct"/>
            <w:vAlign w:val="top"/>
          </w:tcPr>
          <w:p>
            <w:pPr>
              <w:keepNext w:val="0"/>
              <w:keepLines w:val="0"/>
              <w:pageBreakBefore w:val="0"/>
              <w:widowControl/>
              <w:kinsoku/>
              <w:wordWrap/>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42" w:type="pct"/>
            <w:vAlign w:val="top"/>
          </w:tcPr>
          <w:p>
            <w:pPr>
              <w:keepNext w:val="0"/>
              <w:keepLines w:val="0"/>
              <w:pageBreakBefore w:val="0"/>
              <w:widowControl/>
              <w:kinsoku/>
              <w:wordWrap/>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339" w:type="pct"/>
            <w:vAlign w:val="top"/>
          </w:tcPr>
          <w:p>
            <w:pPr>
              <w:keepNext w:val="0"/>
              <w:keepLines w:val="0"/>
              <w:pageBreakBefore w:val="0"/>
              <w:widowControl/>
              <w:kinsoku/>
              <w:wordWrap/>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1"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66"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42" w:type="pct"/>
          </w:tcPr>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339"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1"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66"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tc>
        <w:tc>
          <w:tcPr>
            <w:tcW w:w="1542"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339"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1"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66"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42"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39"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1"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766"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42"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39"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1"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66"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42"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39"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1" w:type="pct"/>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66"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42"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39"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bl>
      <w:tblPr>
        <w:tblStyle w:val="9"/>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417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46"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55" w:type="pct"/>
            <w:vAlign w:val="center"/>
          </w:tcPr>
          <w:p>
            <w:pPr>
              <w:keepNext w:val="0"/>
              <w:keepLines w:val="0"/>
              <w:pageBreakBefore w:val="0"/>
              <w:widowControl/>
              <w:kinsoku/>
              <w:wordWrap/>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98"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jc w:val="center"/>
        </w:trPr>
        <w:tc>
          <w:tcPr>
            <w:tcW w:w="346"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55" w:type="pct"/>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98" w:type="pct"/>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46"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55" w:type="pct"/>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□再次复位（必要时）、调整外固定</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c>
          <w:tcPr>
            <w:tcW w:w="2298" w:type="pct"/>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346"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55" w:type="pct"/>
          </w:tcPr>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98" w:type="pct"/>
          </w:tcPr>
          <w:p>
            <w:pPr>
              <w:keepNext w:val="0"/>
              <w:keepLines w:val="0"/>
              <w:pageBreakBefore w:val="0"/>
              <w:widowControl/>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46"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55"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98"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46" w:type="pct"/>
            <w:vAlign w:val="center"/>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5"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298"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46" w:type="pct"/>
            <w:vAlign w:val="center"/>
          </w:tcPr>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5"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298" w:type="pct"/>
          </w:tcPr>
          <w:p>
            <w:pPr>
              <w:keepNext w:val="0"/>
              <w:keepLines w:val="0"/>
              <w:pageBreakBefore w:val="0"/>
              <w:widowControl/>
              <w:kinsoku/>
              <w:wordWrap/>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val="0"/>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趾骨骨折中医临床路径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一、趾骨骨折中医临床路径标准住院流程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第一诊断为趾骨骨折（TCD编码：BGG000、ICD-10编码：S92.301）。</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（2）西医诊断标准：参照《临床诊疗指南——骨科学分册》（中华医学会编著，人民卫生出版社，2009年）。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（2）中期：伤后3周～6周。瘀血凝滞证：和营生新，接骨续筋。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（3）晚期：伤后7周及以上。肝肾不足证：补益肝肾、强壮筋骨。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3.分型：根据解剖部位分为：趾骨颈骨折、趾骨干骨折、趾骨基地部骨折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参照“国家中医药管理局‘十一五’重点专科协作组趾骨骨折诊疗方案”。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趾骨骨折临床常见的证型：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参照“国家中医药管理局‘十一五’重点专科协作组跖骨骨折诊疗方案”。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诊断明确，第一诊断为趾骨骨折。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第一诊断必须符合趾骨骨折（TCD编码：BGG000、ICD-10编码：S92.301）的患者。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外伤引起的单纯性、新鲜闭合趾骨骨折，有闭合复位外固定适应证。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（1）开放性骨折者。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（4）合并其他无法耐受闭合复位外固定治疗的疾病（如严重心脑血管疾病、癫痫、帕金森病）等。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（9）足正斜位X线片、足部CT、足部MRI</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可选择的检查项目：根据病情需要而定，如血脂常规、电解质等。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手法复位治疗：对于有移位的趾骨骨折，应手法复位。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外固定治疗：手法复位后可采取竹片小夹板或邻趾固定，3～4周即可撤除固定。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辨证选择口服中药汤剂或中成药</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（1）血瘀气滞证：活血祛瘀，消肿止痛。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（2）瘀血凝滞证：和营生新，接骨续筋。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（3）肝肾不足证：补益肝肾、强壮筋骨。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配合中医特色治疗。</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6.护理：辨证施护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1.骨折处肿痛明显缓解；</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2.X线片复查显示骨折对位、对线满意；</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3.踝关节及跖趾关节活动良好；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闭合复位后不稳定，或伴有趾骨脱位难以整复等无法通过手法闭合复位进行治疗，经评估后需行手术治疗时，退出本路径。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合并心血管疾病、内分泌疾病等其他系统疾病者，住院期间病情加重，需要特殊处理，导致住院时间延长、费用增加。</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因患者及其家属意愿而影响本路径执行时，退出本路径。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24"/>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Cs/>
          <w:color w:val="auto"/>
          <w:sz w:val="32"/>
          <w:szCs w:val="32"/>
        </w:rPr>
        <w:t>二、趾骨骨折中医临床路径住院表单</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适用对象：第一诊断为趾骨骨折（TCD编码：BGG000、ICD-10编码：S92.301）</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64"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3178"/>
        <w:gridCol w:w="270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802"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33"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317"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802"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33" w:type="pct"/>
          </w:tcPr>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317"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802"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tc>
        <w:tc>
          <w:tcPr>
            <w:tcW w:w="1533"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tc>
        <w:tc>
          <w:tcPr>
            <w:tcW w:w="1317"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802"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33"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17" w:type="pct"/>
          </w:tcPr>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1802"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33"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17" w:type="pct"/>
          </w:tcPr>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4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80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3"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17"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46" w:type="pct"/>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80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3"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17"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p>
    <w:tbl>
      <w:tblPr>
        <w:tblStyle w:val="9"/>
        <w:tblW w:w="4899"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178"/>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396"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52" w:type="pct"/>
            <w:vAlign w:val="center"/>
          </w:tcPr>
          <w:p>
            <w:pPr>
              <w:keepNext w:val="0"/>
              <w:keepLines w:val="0"/>
              <w:pageBreakBefore w:val="0"/>
              <w:widowControl/>
              <w:kinsoku/>
              <w:wordWrap/>
              <w:topLinePunct w:val="0"/>
              <w:autoSpaceDE/>
              <w:autoSpaceDN/>
              <w:bidi w:val="0"/>
              <w:adjustRightInd w:val="0"/>
              <w:snapToGrid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250"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396" w:type="pct"/>
            <w:textDirection w:val="tbRlV"/>
            <w:vAlign w:val="center"/>
          </w:tcPr>
          <w:p>
            <w:pPr>
              <w:keepNext w:val="0"/>
              <w:keepLines w:val="0"/>
              <w:pageBreakBefore w:val="0"/>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5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25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trPr>
        <w:tc>
          <w:tcPr>
            <w:tcW w:w="396" w:type="pct"/>
            <w:textDirection w:val="tbRlV"/>
            <w:vAlign w:val="center"/>
          </w:tcPr>
          <w:p>
            <w:pPr>
              <w:keepNext w:val="0"/>
              <w:keepLines w:val="0"/>
              <w:pageBreakBefore w:val="0"/>
              <w:widowControl/>
              <w:kinsoku/>
              <w:wordWrap/>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5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□再次复位（必要时）、调整外固定</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c>
          <w:tcPr>
            <w:tcW w:w="225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396"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52"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250" w:type="pct"/>
          </w:tcPr>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6"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52"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250"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396" w:type="pct"/>
            <w:vAlign w:val="center"/>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5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96" w:type="pct"/>
            <w:vAlign w:val="center"/>
          </w:tcPr>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52"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c>
          <w:tcPr>
            <w:tcW w:w="2250" w:type="pct"/>
          </w:tcPr>
          <w:p>
            <w:pPr>
              <w:keepNext w:val="0"/>
              <w:keepLines w:val="0"/>
              <w:pageBreakBefore w:val="0"/>
              <w:widowControl/>
              <w:kinsoku/>
              <w:wordWrap/>
              <w:topLinePunct w:val="0"/>
              <w:autoSpaceDE/>
              <w:autoSpaceDN/>
              <w:bidi w:val="0"/>
              <w:spacing w:line="240" w:lineRule="exact"/>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val="0"/>
        <w:topLinePunct w:val="0"/>
        <w:autoSpaceDE/>
        <w:autoSpaceDN/>
        <w:bidi w:val="0"/>
        <w:spacing w:line="592" w:lineRule="exact"/>
        <w:ind w:left="0" w:leftChars="0" w:right="0" w:rightChars="0" w:firstLine="0" w:firstLineChars="0"/>
        <w:jc w:val="center"/>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44"/>
          <w:szCs w:val="44"/>
        </w:rPr>
        <w:t>单纯性胸腰椎骨折中医临床路径</w:t>
      </w:r>
    </w:p>
    <w:p>
      <w:pPr>
        <w:keepNext w:val="0"/>
        <w:keepLines w:val="0"/>
        <w:pageBreakBefore w:val="0"/>
        <w:kinsoku/>
        <w:wordWrap/>
        <w:overflowPunct w:val="0"/>
        <w:topLinePunct w:val="0"/>
        <w:autoSpaceDE/>
        <w:autoSpaceDN/>
        <w:bidi w:val="0"/>
        <w:spacing w:line="592" w:lineRule="exact"/>
        <w:jc w:val="both"/>
        <w:rPr>
          <w:rFonts w:hint="default" w:ascii="Times New Roman" w:hAnsi="Times New Roman" w:eastAsia="方正小标宋简体" w:cs="Times New Roman"/>
          <w:color w:val="auto"/>
          <w:sz w:val="36"/>
          <w:szCs w:val="36"/>
        </w:rPr>
      </w:pP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一、单纯性胸腰椎骨折中医临床路径标准住院流程</w:t>
      </w:r>
    </w:p>
    <w:p>
      <w:pPr>
        <w:pStyle w:val="28"/>
        <w:bidi w:val="0"/>
        <w:rPr>
          <w:rFonts w:hint="default"/>
          <w:color w:val="auto"/>
        </w:rPr>
      </w:pPr>
      <w:r>
        <w:rPr>
          <w:rFonts w:hint="default"/>
          <w:color w:val="auto"/>
        </w:rPr>
        <w:t>（一）适用对象</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第一诊断为单纯性胸腰椎骨折（TCD编码：BGG000、ICD-10编码：胸椎骨折：S22.000、腰椎骨折：S32.000x002）。</w:t>
      </w:r>
    </w:p>
    <w:p>
      <w:pPr>
        <w:pStyle w:val="28"/>
        <w:bidi w:val="0"/>
        <w:rPr>
          <w:rFonts w:hint="default"/>
          <w:color w:val="auto"/>
        </w:rPr>
      </w:pPr>
      <w:r>
        <w:rPr>
          <w:rFonts w:hint="default"/>
          <w:color w:val="auto"/>
        </w:rPr>
        <w:t>（二）诊断依据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1.疾病诊断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中医诊断标准：参照中华人民共和国中医药行业标准《中医病证诊断疗效标准》（ZY/T001.9-94）及“国家中医药管理局”十四五”规划教材《中医正骨学》第十一版（冷向阳等主编，中国中医药出版社，2021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（2）西医诊断标准：参照《外科学》第8版（陈孝平，汪建平主编，人民卫生出版社，2013年）</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疾病分期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（1）早期：伤后2周以内。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（2）中期：伤后2周～4周。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（3）晚期：伤后4周以上。</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3.分型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胸椎棘突骨折横断型骨折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胸椎压缩性骨折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胸椎神经弓骨折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胸椎横突骨折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胸椎椎弓骨折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胸椎骨折T1/T2</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胸椎骨折T3/T4</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胸椎骨折T5/T6</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胸椎骨折T7/T8</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胸椎骨折T9/T10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胸椎骨折T11/T12</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胸椎多处骨折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腰椎压缩性骨折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腰椎骨折L1</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腰椎骨折L2</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腰椎骨折L3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腰椎骨折L4</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腰椎骨折L5</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证候诊断</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参照“国家中医药管理局‘十一五’重点专科协作组单纯性胸腰椎骨折诊疗方案”。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单纯行胸腰椎骨折临床常见的证型：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（3）气血两虚证</w:t>
      </w:r>
    </w:p>
    <w:p>
      <w:pPr>
        <w:pStyle w:val="28"/>
        <w:bidi w:val="0"/>
        <w:rPr>
          <w:rFonts w:hint="default"/>
          <w:color w:val="auto"/>
        </w:rPr>
      </w:pPr>
      <w:r>
        <w:rPr>
          <w:rFonts w:hint="default"/>
          <w:color w:val="auto"/>
        </w:rPr>
        <w:t>（三）治疗方案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参照“国家中医药管理局‘十一五’重点专科协作组单纯性胸腰椎骨折诊疗方案”。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诊断明确，第一诊断为胸腰椎骨折。</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患者适合并接受中医治疗。</w:t>
      </w:r>
    </w:p>
    <w:p>
      <w:pPr>
        <w:pStyle w:val="28"/>
        <w:bidi w:val="0"/>
        <w:rPr>
          <w:rFonts w:hint="default"/>
          <w:color w:val="auto"/>
        </w:rPr>
      </w:pPr>
      <w:r>
        <w:rPr>
          <w:rFonts w:hint="default"/>
          <w:color w:val="auto"/>
        </w:rPr>
        <w:t>（四）标准住院日为≥10天。</w:t>
      </w:r>
    </w:p>
    <w:p>
      <w:pPr>
        <w:pStyle w:val="28"/>
        <w:bidi w:val="0"/>
        <w:rPr>
          <w:rFonts w:hint="default"/>
          <w:color w:val="auto"/>
        </w:rPr>
      </w:pPr>
      <w:r>
        <w:rPr>
          <w:rFonts w:hint="default"/>
          <w:color w:val="auto"/>
        </w:rPr>
        <w:t>（五）进入路径标准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第一诊断必须符合单纯性胸腰椎骨折（TCD编码：BGG000，ICD-10编码：S22.000）的患者。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X线片显示椎体压缩小于30%。</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3.骨折骨块后移位不超过椎管1/3。</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患者接受闭合复位外固定治疗并同意住院。</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除外以下情况</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（1）合并有胸腰椎下神经、血管损伤者。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（2）开放性骨折者。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（3）多发骨折，尤其同一肢体多发骨折者。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（4）患处严重皮肤疾病者。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（5）合并其他无法耐受手法复位外固定治疗的疾病（如严重心脑血管疾病、癫痫、帕金森病）等。</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患者同时具有其他疾病，但在住院期间不需特殊处理，也不影响第一诊断的临床路径流程实施时，可以进入本路径。</w:t>
      </w:r>
    </w:p>
    <w:p>
      <w:pPr>
        <w:pStyle w:val="28"/>
        <w:bidi w:val="0"/>
        <w:rPr>
          <w:rFonts w:hint="default"/>
          <w:color w:val="auto"/>
        </w:rPr>
      </w:pPr>
      <w:r>
        <w:rPr>
          <w:rFonts w:hint="default"/>
          <w:color w:val="auto"/>
        </w:rPr>
        <w:t>（六）中医证候学观察</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四诊合参，收集该病种不同证候的主症、次症、舌、脉特点。注意证候的动态变化。</w:t>
      </w:r>
    </w:p>
    <w:p>
      <w:pPr>
        <w:pStyle w:val="28"/>
        <w:bidi w:val="0"/>
        <w:rPr>
          <w:rFonts w:hint="default"/>
          <w:color w:val="auto"/>
        </w:rPr>
      </w:pPr>
      <w:r>
        <w:rPr>
          <w:rFonts w:hint="default"/>
          <w:color w:val="auto"/>
        </w:rPr>
        <w:t>（七）入院检查项目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rPr>
        <w:t>必需的检查项目</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（1）血常规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（3）大便常规</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（4）肝功能、肾功能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（5）血糖、血脂</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（6）凝血功能</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（7）心电图</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（8）胸部CT</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（9）胸（腰）椎正侧位X线片</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（10）胸（腰）椎CT、胸（腰）椎MRI</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（11）D-2聚体、双下肢深静脉彩超</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可选择的检查项目：根据病情需要而定，如BNP、心肌酶、肌钙蛋白、骨密度、心脏彩超等。</w:t>
      </w:r>
    </w:p>
    <w:p>
      <w:pPr>
        <w:pStyle w:val="28"/>
        <w:bidi w:val="0"/>
        <w:rPr>
          <w:rFonts w:hint="default"/>
          <w:color w:val="auto"/>
        </w:rPr>
      </w:pPr>
      <w:r>
        <w:rPr>
          <w:rFonts w:hint="default"/>
          <w:color w:val="auto"/>
        </w:rPr>
        <w:t>（八）治疗方法</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1.手法功能复位、骨盆牵引、腰背部垫枕复位。</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2.脊柱支具外固定、腰背肌功能锻炼。</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3.辨证论治：</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（1）气滞血瘀证：行气活血、消肿止痛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（2）营血不调证：活血和营、接骨续筋</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（3）气血两虚证：补益肝肾、接骨续筋、舒筋活络</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护理：中药热奄包治疗、中医定向透药、隔物灸、穴位贴敷、气压治疗、中药封包（辨证施护）。</w:t>
      </w:r>
    </w:p>
    <w:p>
      <w:pPr>
        <w:pStyle w:val="28"/>
        <w:bidi w:val="0"/>
        <w:rPr>
          <w:rFonts w:hint="default"/>
          <w:color w:val="auto"/>
        </w:rPr>
      </w:pPr>
      <w:r>
        <w:rPr>
          <w:rFonts w:hint="default"/>
          <w:color w:val="auto"/>
        </w:rPr>
        <w:t>（九）出院标准</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1.胸、腰背部无明显疼痛。</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2.X线片复查骨折维持稳定。</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3.没有需要住院治疗的并发症。</w:t>
      </w:r>
    </w:p>
    <w:p>
      <w:pPr>
        <w:pStyle w:val="28"/>
        <w:bidi w:val="0"/>
        <w:rPr>
          <w:rFonts w:hint="default"/>
          <w:color w:val="auto"/>
        </w:rPr>
      </w:pPr>
      <w:r>
        <w:rPr>
          <w:rFonts w:hint="default"/>
          <w:color w:val="auto"/>
        </w:rPr>
        <w:t>（十）有无变异及原因分析</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1.因并发其他部位损伤致使治疗时间或卧床时间延长，增加住院费用。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2.合并糖尿病等其他内科庆病导致治疗时间延长，增加住院费用。</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3.治疗过程中发生了病情变化，出现下肢麻木等严重并发症，退出本方案。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4.因患者及其家属意愿而影响本路径的执行，退出本方案。</w:t>
      </w:r>
    </w:p>
    <w:p>
      <w:pPr>
        <w:keepNext w:val="0"/>
        <w:keepLines w:val="0"/>
        <w:pageBreakBefore w:val="0"/>
        <w:kinsoku/>
        <w:wordWrap/>
        <w:overflowPunct w:val="0"/>
        <w:topLinePunct w:val="0"/>
        <w:autoSpaceDE/>
        <w:autoSpaceDN/>
        <w:bidi w:val="0"/>
        <w:spacing w:line="592" w:lineRule="exact"/>
        <w:ind w:firstLine="640" w:firstLineChars="200"/>
        <w:jc w:val="both"/>
        <w:rPr>
          <w:rFonts w:hint="default" w:ascii="Times New Roman" w:hAnsi="Times New Roman" w:eastAsia="黑体" w:cs="Times New Roman"/>
          <w:bCs/>
          <w:color w:val="auto"/>
          <w:sz w:val="32"/>
          <w:szCs w:val="32"/>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Cs/>
          <w:color w:val="auto"/>
          <w:sz w:val="32"/>
          <w:szCs w:val="32"/>
        </w:rPr>
        <w:t>二、单纯性胸腰椎骨折中医临床路径住院表单</w:t>
      </w:r>
    </w:p>
    <w:p>
      <w:pPr>
        <w:keepNext w:val="0"/>
        <w:keepLines w:val="0"/>
        <w:pageBreakBefore w:val="0"/>
        <w:widowControl w:val="0"/>
        <w:kinsoku/>
        <w:wordWrap/>
        <w:overflowPunct/>
        <w:topLinePunct w:val="0"/>
        <w:autoSpaceDE/>
        <w:autoSpaceDN/>
        <w:bidi w:val="0"/>
        <w:adjustRightInd/>
        <w:snapToGrid/>
        <w:spacing w:line="300" w:lineRule="exact"/>
        <w:ind w:left="1000" w:right="-63" w:rightChars="-30" w:hanging="1000" w:hangingChars="50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适用对象：第一诊断为单纯性胸腰椎骨折（TCD编码：BGG000，ICD-10编码：腰椎骨折、S22.000、腰椎骨折：</w:t>
      </w:r>
      <w:r>
        <w:rPr>
          <w:rFonts w:hint="eastAsia" w:ascii="方正书宋简体" w:hAnsi="方正书宋简体" w:eastAsia="方正书宋简体" w:cs="方正书宋简体"/>
          <w:color w:val="auto"/>
          <w:kern w:val="0"/>
          <w:sz w:val="20"/>
          <w:szCs w:val="20"/>
        </w:rPr>
        <w:t>S32.000x002</w:t>
      </w:r>
      <w:r>
        <w:rPr>
          <w:rFonts w:hint="eastAsia" w:ascii="方正书宋简体" w:hAnsi="方正书宋简体" w:eastAsia="方正书宋简体" w:cs="方正书宋简体"/>
          <w:color w:val="auto"/>
          <w:sz w:val="20"/>
          <w:szCs w:val="20"/>
        </w:rPr>
        <w:t>）</w:t>
      </w:r>
    </w:p>
    <w:p>
      <w:pPr>
        <w:keepNext w:val="0"/>
        <w:keepLines w:val="0"/>
        <w:pageBreakBefore w:val="0"/>
        <w:widowControl w:val="0"/>
        <w:kinsoku/>
        <w:wordWrap/>
        <w:overflowPunct/>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color w:val="auto"/>
          <w:sz w:val="20"/>
          <w:szCs w:val="20"/>
          <w:u w:val="single"/>
        </w:rPr>
      </w:pPr>
      <w:r>
        <w:rPr>
          <w:rFonts w:hint="eastAsia" w:ascii="方正书宋简体" w:hAnsi="方正书宋简体" w:eastAsia="方正书宋简体" w:cs="方正书宋简体"/>
          <w:color w:val="auto"/>
          <w:sz w:val="20"/>
          <w:szCs w:val="20"/>
        </w:rPr>
        <w:t>患者姓名：</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性别：</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年龄：</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门诊号：</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住院号：</w:t>
      </w:r>
      <w:r>
        <w:rPr>
          <w:rFonts w:hint="eastAsia" w:ascii="方正书宋简体" w:hAnsi="方正书宋简体" w:eastAsia="方正书宋简体" w:cs="方正书宋简体"/>
          <w:color w:val="auto"/>
          <w:sz w:val="20"/>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发病时间：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时 住院日期：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 出院日期：</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年</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月</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日</w:t>
      </w:r>
    </w:p>
    <w:p>
      <w:pPr>
        <w:keepNext w:val="0"/>
        <w:keepLines w:val="0"/>
        <w:pageBreakBefore w:val="0"/>
        <w:widowControl w:val="0"/>
        <w:kinsoku/>
        <w:wordWrap/>
        <w:overflowPunct/>
        <w:topLinePunct w:val="0"/>
        <w:autoSpaceDE/>
        <w:autoSpaceDN/>
        <w:bidi w:val="0"/>
        <w:adjustRightInd/>
        <w:snapToGrid/>
        <w:spacing w:line="300" w:lineRule="exact"/>
        <w:ind w:right="-63" w:rightChars="-30"/>
        <w:jc w:val="both"/>
        <w:textAlignment w:val="auto"/>
        <w:rPr>
          <w:rFonts w:hint="eastAsia" w:ascii="方正书宋简体" w:hAnsi="方正书宋简体" w:eastAsia="方正书宋简体" w:cs="方正书宋简体"/>
          <w:color w:val="auto"/>
          <w:sz w:val="20"/>
          <w:szCs w:val="20"/>
        </w:rPr>
      </w:pPr>
      <w:r>
        <w:rPr>
          <w:rFonts w:hint="eastAsia" w:ascii="方正书宋简体" w:hAnsi="方正书宋简体" w:eastAsia="方正书宋简体" w:cs="方正书宋简体"/>
          <w:color w:val="auto"/>
          <w:sz w:val="20"/>
          <w:szCs w:val="20"/>
        </w:rPr>
        <w:t>标准住院日≥10天               实际住院日：</w:t>
      </w:r>
      <w:r>
        <w:rPr>
          <w:rFonts w:hint="eastAsia" w:ascii="方正书宋简体" w:hAnsi="方正书宋简体" w:eastAsia="方正书宋简体" w:cs="方正书宋简体"/>
          <w:color w:val="auto"/>
          <w:sz w:val="20"/>
          <w:szCs w:val="20"/>
          <w:u w:val="single"/>
        </w:rPr>
        <w:t xml:space="preserve">      </w:t>
      </w:r>
      <w:r>
        <w:rPr>
          <w:rFonts w:hint="eastAsia" w:ascii="方正书宋简体" w:hAnsi="方正书宋简体" w:eastAsia="方正书宋简体" w:cs="方正书宋简体"/>
          <w:color w:val="auto"/>
          <w:sz w:val="20"/>
          <w:szCs w:val="20"/>
        </w:rPr>
        <w:t xml:space="preserve"> 天 </w:t>
      </w:r>
    </w:p>
    <w:tbl>
      <w:tblPr>
        <w:tblStyle w:val="9"/>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3162"/>
        <w:gridCol w:w="2731"/>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1782"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（第1天）</w:t>
            </w:r>
          </w:p>
        </w:tc>
        <w:tc>
          <w:tcPr>
            <w:tcW w:w="1539"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第2天）</w:t>
            </w:r>
          </w:p>
        </w:tc>
        <w:tc>
          <w:tcPr>
            <w:tcW w:w="1372"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（第3—7天）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178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□询问病史、体格检查</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□下达医嘱、开出各项检查单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□完成首次病程记录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□完成入院记录</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color w:val="auto"/>
                <w:sz w:val="18"/>
                <w:szCs w:val="18"/>
              </w:rPr>
              <w:t>□完成初步诊断</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□签署“麻醉知情同意书”（必要时）</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□麻醉（必要时）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□闭合复位、外固定治疗</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□骨折复位评估，如需要再次复位，由上级医师完成</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bCs/>
                <w:color w:val="auto"/>
                <w:sz w:val="18"/>
                <w:szCs w:val="18"/>
              </w:rPr>
            </w:pPr>
            <w:r>
              <w:rPr>
                <w:rFonts w:hint="eastAsia" w:ascii="方正书宋简体" w:hAnsi="方正书宋简体" w:eastAsia="方正书宋简体" w:cs="方正书宋简体"/>
                <w:bCs/>
                <w:color w:val="auto"/>
                <w:sz w:val="18"/>
                <w:szCs w:val="18"/>
              </w:rPr>
              <w:t>□与家属沟通，交代病情及注意事项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bCs/>
                <w:color w:val="auto"/>
                <w:sz w:val="18"/>
                <w:szCs w:val="18"/>
              </w:rPr>
              <w:t>□密切观察、防治并发症</w:t>
            </w:r>
          </w:p>
        </w:tc>
        <w:tc>
          <w:tcPr>
            <w:tcW w:w="1539" w:type="pct"/>
          </w:tcPr>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□完成上级医师查房及记录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□骨折复位评估</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□观察血运、感觉、功能活动、外固定松紧度等情况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□完成各项辅助检查 </w:t>
            </w:r>
          </w:p>
          <w:p>
            <w:pPr>
              <w:keepNext w:val="0"/>
              <w:keepLines w:val="0"/>
              <w:pageBreakBefore w:val="0"/>
              <w:widowControl w:val="0"/>
              <w:kinsoku/>
              <w:wordWrap/>
              <w:overflowPunct/>
              <w:topLinePunct w:val="0"/>
              <w:autoSpaceDE/>
              <w:autoSpaceDN/>
              <w:bidi w:val="0"/>
              <w:adjustRightInd w:val="0"/>
              <w:snapToGrid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□向患者或家属交代病情和注意事项</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□相关科室会诊与治疗（必要时）</w:t>
            </w:r>
          </w:p>
        </w:tc>
        <w:tc>
          <w:tcPr>
            <w:tcW w:w="137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□完成上级医师查房及病程记录</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□根据患者病情变化及时调整治疗方案</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178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□骨伤科常规护理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□血常规、尿、便常规</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u w:val="single"/>
              </w:rPr>
            </w:pPr>
            <w:r>
              <w:rPr>
                <w:rFonts w:hint="eastAsia" w:ascii="方正书宋简体" w:hAnsi="方正书宋简体" w:eastAsia="方正书宋简体" w:cs="方正书宋简体"/>
                <w:color w:val="auto"/>
                <w:sz w:val="18"/>
                <w:szCs w:val="18"/>
              </w:rPr>
              <w:t>□心电图</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□肝功能、肾功能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□凝血功能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□复位后复查X线片评估</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□中医特色疗法</w:t>
            </w:r>
          </w:p>
        </w:tc>
        <w:tc>
          <w:tcPr>
            <w:tcW w:w="1539"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□分级护理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□对异常检查结果进行评估，必要时复查</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□中医特色疗法</w:t>
            </w:r>
          </w:p>
        </w:tc>
        <w:tc>
          <w:tcPr>
            <w:tcW w:w="137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□中医特色疗法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178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□入院介绍</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□入院健康教育</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 xml:space="preserve">□介绍入院检查前注意事项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□按照医嘱执行诊疗护理措施</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□完成麻醉前各项护理操作（必要时）</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tc>
        <w:tc>
          <w:tcPr>
            <w:tcW w:w="1539"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137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spacing w:val="-6"/>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病情变异记录</w:t>
            </w:r>
          </w:p>
        </w:tc>
        <w:tc>
          <w:tcPr>
            <w:tcW w:w="178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539"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c>
          <w:tcPr>
            <w:tcW w:w="1372" w:type="pct"/>
          </w:tcPr>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widowControl w:val="0"/>
              <w:kinsoku/>
              <w:wordWrap/>
              <w:overflowPunct/>
              <w:topLinePunct w:val="0"/>
              <w:autoSpaceDE/>
              <w:autoSpaceDN/>
              <w:bidi w:val="0"/>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05"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9"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7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05" w:type="pct"/>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178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539"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1372"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p>
    <w:tbl>
      <w:tblPr>
        <w:tblStyle w:val="9"/>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07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8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时间</w:t>
            </w:r>
          </w:p>
        </w:tc>
        <w:tc>
          <w:tcPr>
            <w:tcW w:w="2306" w:type="pct"/>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（第8—13天）</w:t>
            </w:r>
          </w:p>
        </w:tc>
        <w:tc>
          <w:tcPr>
            <w:tcW w:w="230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u w:val="single"/>
                <w:lang w:val="en-US" w:eastAsia="zh-CN"/>
              </w:rPr>
              <w:t xml:space="preserve">  </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 xml:space="preserve"> 年</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月</w:t>
            </w:r>
            <w:r>
              <w:rPr>
                <w:rFonts w:hint="eastAsia" w:ascii="方正书宋简体" w:hAnsi="方正书宋简体" w:eastAsia="方正书宋简体" w:cs="方正书宋简体"/>
                <w:color w:val="auto"/>
                <w:sz w:val="18"/>
                <w:szCs w:val="18"/>
                <w:u w:val="single"/>
              </w:rPr>
              <w:t xml:space="preserve">  </w:t>
            </w:r>
            <w:r>
              <w:rPr>
                <w:rFonts w:hint="eastAsia" w:ascii="方正书宋简体" w:hAnsi="方正书宋简体" w:eastAsia="方正书宋简体" w:cs="方正书宋简体"/>
                <w:color w:val="auto"/>
                <w:sz w:val="18"/>
                <w:szCs w:val="18"/>
              </w:rPr>
              <w:t>日</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386" w:type="pct"/>
            <w:textDirection w:val="tbRlV"/>
            <w:vAlign w:val="center"/>
          </w:tcPr>
          <w:p>
            <w:pPr>
              <w:keepNext w:val="0"/>
              <w:keepLines w:val="0"/>
              <w:pageBreakBefore w:val="0"/>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主要诊疗工作</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□上级医师查房与诊疗评估，明确出院时间</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□观察舌脉象、肿胀、疼痛情况，及时调整外固定松紧度</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□完成出院记录</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□开具出院诊断书</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□开具出院带药</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□向患者或家属交代出院注意事项及随诊方案</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386" w:type="pct"/>
            <w:textDirection w:val="tbRlV"/>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0" w:firstLineChars="0"/>
              <w:jc w:val="center"/>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重点医嘱</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□骨伤科常规护理</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□分级护理</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□普食</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□中药辨证施治</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□调整外固定</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□复查X线片（必要时）</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长期医嘱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□停止所有长期医嘱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临时医嘱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□开具出院医嘱</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□出院带药</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38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主要</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护理</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工作</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□按医嘱进行治疗</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□中医情志疏导、健康教育与生活护理</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□饮食指导</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□观察肿胀、疼痛、末梢血循、外固定松紧度等情况及护理</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□指导功能锻炼</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□夜间巡视</w:t>
            </w:r>
          </w:p>
        </w:tc>
        <w:tc>
          <w:tcPr>
            <w:tcW w:w="2306" w:type="pct"/>
          </w:tcPr>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指导患者出院后功能康复训练</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□交代出院后注意事项，进行卫生宣教</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□指导出院带药的煎法服法及用药注意事项</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sz w:val="18"/>
                <w:szCs w:val="18"/>
              </w:rPr>
              <w:t>□</w:t>
            </w:r>
            <w:r>
              <w:rPr>
                <w:rFonts w:hint="eastAsia" w:ascii="方正书宋简体" w:hAnsi="方正书宋简体" w:eastAsia="方正书宋简体" w:cs="方正书宋简体"/>
                <w:color w:val="auto"/>
                <w:kern w:val="0"/>
                <w:sz w:val="18"/>
                <w:szCs w:val="18"/>
              </w:rPr>
              <w:t>协助办理出院手续</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sz w:val="18"/>
                <w:szCs w:val="18"/>
              </w:rPr>
              <w:t>□送病人出院</w:t>
            </w:r>
          </w:p>
          <w:p>
            <w:pPr>
              <w:keepNext w:val="0"/>
              <w:keepLines w:val="0"/>
              <w:pageBreakBefore w:val="0"/>
              <w:widowControl w:val="0"/>
              <w:kinsoku/>
              <w:wordWrap/>
              <w:overflowPunct/>
              <w:topLinePunct w:val="0"/>
              <w:autoSpaceDE/>
              <w:autoSpaceDN/>
              <w:bidi w:val="0"/>
              <w:adjustRightInd/>
              <w:snapToGrid/>
              <w:spacing w:line="240" w:lineRule="exact"/>
              <w:ind w:left="180" w:right="-63" w:rightChars="-30" w:hanging="180" w:hangingChars="100"/>
              <w:jc w:val="both"/>
              <w:textAlignment w:val="auto"/>
              <w:rPr>
                <w:rFonts w:hint="eastAsia" w:ascii="方正书宋简体" w:hAnsi="方正书宋简体" w:eastAsia="方正书宋简体" w:cs="方正书宋简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8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病情</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变异</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记录</w:t>
            </w:r>
          </w:p>
        </w:tc>
        <w:tc>
          <w:tcPr>
            <w:tcW w:w="230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 xml:space="preserve">□无  </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c>
          <w:tcPr>
            <w:tcW w:w="230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□有，原因：</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1.</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sz w:val="18"/>
                <w:szCs w:val="18"/>
              </w:rPr>
            </w:pPr>
            <w:r>
              <w:rPr>
                <w:rFonts w:hint="eastAsia" w:ascii="方正书宋简体" w:hAnsi="方正书宋简体" w:eastAsia="方正书宋简体" w:cs="方正书宋简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86" w:type="pct"/>
            <w:vAlign w:val="center"/>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责任</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护士</w:t>
            </w:r>
          </w:p>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6"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306"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86" w:type="pct"/>
            <w:vAlign w:val="center"/>
          </w:tcPr>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医师</w:t>
            </w:r>
          </w:p>
          <w:p>
            <w:pPr>
              <w:keepNext w:val="0"/>
              <w:keepLines w:val="0"/>
              <w:pageBreakBefore w:val="0"/>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r>
              <w:rPr>
                <w:rFonts w:hint="eastAsia" w:ascii="方正书宋简体" w:hAnsi="方正书宋简体" w:eastAsia="方正书宋简体" w:cs="方正书宋简体"/>
                <w:color w:val="auto"/>
                <w:kern w:val="0"/>
                <w:sz w:val="18"/>
                <w:szCs w:val="18"/>
              </w:rPr>
              <w:t>签名</w:t>
            </w:r>
          </w:p>
        </w:tc>
        <w:tc>
          <w:tcPr>
            <w:tcW w:w="2306"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c>
          <w:tcPr>
            <w:tcW w:w="2306" w:type="pct"/>
          </w:tcPr>
          <w:p>
            <w:pPr>
              <w:keepNext w:val="0"/>
              <w:keepLines w:val="0"/>
              <w:pageBreakBefore w:val="0"/>
              <w:widowControl/>
              <w:kinsoku/>
              <w:wordWrap/>
              <w:overflowPunct/>
              <w:topLinePunct w:val="0"/>
              <w:autoSpaceDE/>
              <w:autoSpaceDN/>
              <w:bidi w:val="0"/>
              <w:spacing w:line="240" w:lineRule="exact"/>
              <w:ind w:right="-63" w:rightChars="-30"/>
              <w:jc w:val="both"/>
              <w:textAlignment w:val="auto"/>
              <w:rPr>
                <w:rFonts w:hint="eastAsia" w:ascii="方正书宋简体" w:hAnsi="方正书宋简体" w:eastAsia="方正书宋简体" w:cs="方正书宋简体"/>
                <w:color w:val="auto"/>
                <w:kern w:val="0"/>
                <w:sz w:val="18"/>
                <w:szCs w:val="18"/>
              </w:rPr>
            </w:pPr>
          </w:p>
        </w:tc>
      </w:tr>
    </w:tbl>
    <w:p>
      <w:pPr>
        <w:keepNext w:val="0"/>
        <w:keepLines w:val="0"/>
        <w:pageBreakBefore w:val="0"/>
        <w:kinsoku/>
        <w:wordWrap/>
        <w:topLinePunct w:val="0"/>
        <w:autoSpaceDE/>
        <w:autoSpaceDN/>
        <w:bidi w:val="0"/>
        <w:spacing w:line="592" w:lineRule="exact"/>
        <w:jc w:val="both"/>
        <w:rPr>
          <w:rFonts w:hint="default" w:ascii="Calibri" w:hAnsi="Calibri" w:eastAsia="宋体" w:cs="Times New Roman"/>
          <w:kern w:val="2"/>
          <w:sz w:val="21"/>
          <w:szCs w:val="22"/>
          <w:lang w:val="en-US" w:eastAsia="zh-CN" w:bidi="ar-SA"/>
        </w:rPr>
      </w:pPr>
      <w:bookmarkStart w:id="7" w:name="_GoBack"/>
      <w:bookmarkEnd w:id="7"/>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701" w:left="1531" w:header="136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line="240" w:lineRule="auto"/>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13EA1"/>
    <w:multiLevelType w:val="singleLevel"/>
    <w:tmpl w:val="CE213EA1"/>
    <w:lvl w:ilvl="0" w:tentative="0">
      <w:start w:val="1"/>
      <w:numFmt w:val="decimal"/>
      <w:suff w:val="nothing"/>
      <w:lvlText w:val="（%1）"/>
      <w:lvlJc w:val="left"/>
      <w:rPr>
        <w:rFonts w:cs="Times New Roman"/>
      </w:rPr>
    </w:lvl>
  </w:abstractNum>
  <w:abstractNum w:abstractNumId="1">
    <w:nsid w:val="39B0CDFF"/>
    <w:multiLevelType w:val="singleLevel"/>
    <w:tmpl w:val="39B0CDFF"/>
    <w:lvl w:ilvl="0" w:tentative="0">
      <w:start w:val="1"/>
      <w:numFmt w:val="decimal"/>
      <w:suff w:val="nothing"/>
      <w:lvlText w:val="（%1）"/>
      <w:lvlJc w:val="left"/>
      <w:pPr>
        <w:ind w:left="-60"/>
      </w:pPr>
      <w:rPr>
        <w:rFonts w:cs="Times New Roman"/>
      </w:rPr>
    </w:lvl>
  </w:abstractNum>
  <w:abstractNum w:abstractNumId="2">
    <w:nsid w:val="3AB40B8E"/>
    <w:multiLevelType w:val="singleLevel"/>
    <w:tmpl w:val="3AB40B8E"/>
    <w:lvl w:ilvl="0" w:tentative="0">
      <w:start w:val="2"/>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TRjODI2YmFiNTYzMDVkMjUzNTZjNzM3NWRlOGIifQ=="/>
  </w:docVars>
  <w:rsids>
    <w:rsidRoot w:val="00733F0E"/>
    <w:rsid w:val="0000263C"/>
    <w:rsid w:val="00022071"/>
    <w:rsid w:val="000631A0"/>
    <w:rsid w:val="00101EA5"/>
    <w:rsid w:val="00131FD4"/>
    <w:rsid w:val="00152D18"/>
    <w:rsid w:val="00156302"/>
    <w:rsid w:val="001A00C5"/>
    <w:rsid w:val="001D0DB0"/>
    <w:rsid w:val="00211614"/>
    <w:rsid w:val="0025381E"/>
    <w:rsid w:val="002555AB"/>
    <w:rsid w:val="002A0D2E"/>
    <w:rsid w:val="002A5E80"/>
    <w:rsid w:val="003023E4"/>
    <w:rsid w:val="00362159"/>
    <w:rsid w:val="00392679"/>
    <w:rsid w:val="003A4BE1"/>
    <w:rsid w:val="003D3D33"/>
    <w:rsid w:val="00414E58"/>
    <w:rsid w:val="00470E8A"/>
    <w:rsid w:val="004B60AB"/>
    <w:rsid w:val="004E54ED"/>
    <w:rsid w:val="004F6DEE"/>
    <w:rsid w:val="00502666"/>
    <w:rsid w:val="005931C3"/>
    <w:rsid w:val="005E1137"/>
    <w:rsid w:val="006103E8"/>
    <w:rsid w:val="00632D0D"/>
    <w:rsid w:val="00657320"/>
    <w:rsid w:val="006D6BA9"/>
    <w:rsid w:val="006F4FE4"/>
    <w:rsid w:val="00710E28"/>
    <w:rsid w:val="00720EEA"/>
    <w:rsid w:val="00733F0E"/>
    <w:rsid w:val="00736909"/>
    <w:rsid w:val="00756991"/>
    <w:rsid w:val="008244C2"/>
    <w:rsid w:val="00893338"/>
    <w:rsid w:val="00895922"/>
    <w:rsid w:val="008B4004"/>
    <w:rsid w:val="00934B2E"/>
    <w:rsid w:val="00985682"/>
    <w:rsid w:val="009B7EC9"/>
    <w:rsid w:val="009C632D"/>
    <w:rsid w:val="00A17508"/>
    <w:rsid w:val="00A77690"/>
    <w:rsid w:val="00AA0F26"/>
    <w:rsid w:val="00AA6ECF"/>
    <w:rsid w:val="00AF1664"/>
    <w:rsid w:val="00BC26BD"/>
    <w:rsid w:val="00BF0E9A"/>
    <w:rsid w:val="00C25F30"/>
    <w:rsid w:val="00C64FF9"/>
    <w:rsid w:val="00C94727"/>
    <w:rsid w:val="00CC267A"/>
    <w:rsid w:val="00D10A2D"/>
    <w:rsid w:val="00D50BD7"/>
    <w:rsid w:val="00D523DE"/>
    <w:rsid w:val="00D74B25"/>
    <w:rsid w:val="00D85BC4"/>
    <w:rsid w:val="00D85D36"/>
    <w:rsid w:val="00DA2CD4"/>
    <w:rsid w:val="00E23181"/>
    <w:rsid w:val="00E27D5C"/>
    <w:rsid w:val="00E40081"/>
    <w:rsid w:val="00E4784B"/>
    <w:rsid w:val="00E755B1"/>
    <w:rsid w:val="00E9385F"/>
    <w:rsid w:val="00EA5BE4"/>
    <w:rsid w:val="00EF068F"/>
    <w:rsid w:val="00EF439C"/>
    <w:rsid w:val="00F11A99"/>
    <w:rsid w:val="00F17CA3"/>
    <w:rsid w:val="00F30495"/>
    <w:rsid w:val="00F65B0B"/>
    <w:rsid w:val="00FB26DE"/>
    <w:rsid w:val="022B20FA"/>
    <w:rsid w:val="032D0AAA"/>
    <w:rsid w:val="0364087A"/>
    <w:rsid w:val="05783BB1"/>
    <w:rsid w:val="0B900F77"/>
    <w:rsid w:val="0FE313FD"/>
    <w:rsid w:val="108B2143"/>
    <w:rsid w:val="136441CE"/>
    <w:rsid w:val="15F74A50"/>
    <w:rsid w:val="179813FC"/>
    <w:rsid w:val="1B001255"/>
    <w:rsid w:val="1C0D70A6"/>
    <w:rsid w:val="1CAE389A"/>
    <w:rsid w:val="1D5C7B62"/>
    <w:rsid w:val="1E251167"/>
    <w:rsid w:val="20B47E17"/>
    <w:rsid w:val="254F451B"/>
    <w:rsid w:val="29E13BDA"/>
    <w:rsid w:val="2B0D3583"/>
    <w:rsid w:val="2B5E7B9C"/>
    <w:rsid w:val="2DE040AB"/>
    <w:rsid w:val="2EA25DD5"/>
    <w:rsid w:val="33FE1676"/>
    <w:rsid w:val="354B3C14"/>
    <w:rsid w:val="356279EA"/>
    <w:rsid w:val="37436B42"/>
    <w:rsid w:val="375B6EB7"/>
    <w:rsid w:val="3B4C1641"/>
    <w:rsid w:val="42373B63"/>
    <w:rsid w:val="42614A9B"/>
    <w:rsid w:val="43123A0B"/>
    <w:rsid w:val="44184095"/>
    <w:rsid w:val="46951900"/>
    <w:rsid w:val="476745C6"/>
    <w:rsid w:val="492F5D76"/>
    <w:rsid w:val="4D720CBA"/>
    <w:rsid w:val="5228491B"/>
    <w:rsid w:val="548B151E"/>
    <w:rsid w:val="55C07385"/>
    <w:rsid w:val="5A8A625D"/>
    <w:rsid w:val="5D6E6935"/>
    <w:rsid w:val="5F954112"/>
    <w:rsid w:val="60E4111E"/>
    <w:rsid w:val="65266A62"/>
    <w:rsid w:val="65AE14A3"/>
    <w:rsid w:val="675A799A"/>
    <w:rsid w:val="6925746C"/>
    <w:rsid w:val="6BE800CE"/>
    <w:rsid w:val="6EB371B8"/>
    <w:rsid w:val="6F182C61"/>
    <w:rsid w:val="6FB1521A"/>
    <w:rsid w:val="702D6CAF"/>
    <w:rsid w:val="70732FD1"/>
    <w:rsid w:val="70B02058"/>
    <w:rsid w:val="749417EA"/>
    <w:rsid w:val="76F169A8"/>
    <w:rsid w:val="79AA4303"/>
    <w:rsid w:val="7BAE2986"/>
    <w:rsid w:val="7C3A639A"/>
    <w:rsid w:val="7F1B69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2" w:lineRule="exact"/>
      <w:jc w:val="both"/>
    </w:pPr>
    <w:rPr>
      <w:rFonts w:ascii="Calibri" w:hAnsi="Calibri" w:eastAsia="宋体" w:cs="Times New Roman"/>
      <w:kern w:val="2"/>
      <w:sz w:val="21"/>
      <w:szCs w:val="22"/>
      <w:lang w:val="en-US" w:eastAsia="zh-CN" w:bidi="ar-SA"/>
    </w:rPr>
  </w:style>
  <w:style w:type="character" w:default="1" w:styleId="11">
    <w:name w:val="Default Paragraph Font"/>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rPr>
      <w:rFonts w:eastAsia="仿宋_GB2312"/>
      <w:szCs w:val="32"/>
    </w:rPr>
  </w:style>
  <w:style w:type="paragraph" w:styleId="3">
    <w:name w:val="index 5"/>
    <w:basedOn w:val="1"/>
    <w:next w:val="1"/>
    <w:qFormat/>
    <w:uiPriority w:val="0"/>
    <w:pPr>
      <w:ind w:left="1680"/>
    </w:pPr>
  </w:style>
  <w:style w:type="paragraph" w:styleId="4">
    <w:name w:val="annotation text"/>
    <w:basedOn w:val="1"/>
    <w:link w:val="16"/>
    <w:qFormat/>
    <w:uiPriority w:val="99"/>
    <w:pPr>
      <w:jc w:val="left"/>
    </w:pPr>
    <w:rPr>
      <w:rFonts w:ascii="Times New Roman" w:hAnsi="Times New Roman"/>
      <w:szCs w:val="24"/>
    </w:rPr>
  </w:style>
  <w:style w:type="paragraph" w:styleId="5">
    <w:name w:val="Body Text Indent 2"/>
    <w:basedOn w:val="1"/>
    <w:link w:val="18"/>
    <w:qFormat/>
    <w:uiPriority w:val="99"/>
    <w:pPr>
      <w:spacing w:after="120" w:line="480" w:lineRule="auto"/>
      <w:ind w:left="420" w:leftChars="200"/>
    </w:pPr>
    <w:rPr>
      <w:rFonts w:ascii="Times New Roman" w:hAnsi="Times New Roman"/>
      <w:szCs w:val="24"/>
    </w:rPr>
  </w:style>
  <w:style w:type="paragraph" w:styleId="6">
    <w:name w:val="footer"/>
    <w:basedOn w:val="1"/>
    <w:link w:val="20"/>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4"/>
    </w:rPr>
  </w:style>
  <w:style w:type="paragraph" w:styleId="8">
    <w:name w:val="annotation subject"/>
    <w:basedOn w:val="4"/>
    <w:next w:val="4"/>
    <w:link w:val="24"/>
    <w:qFormat/>
    <w:uiPriority w:val="99"/>
    <w:rPr>
      <w:b/>
      <w:bCs/>
    </w:rPr>
  </w:style>
  <w:style w:type="table" w:styleId="10">
    <w:name w:val="Table Grid"/>
    <w:basedOn w:val="9"/>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paragraph" w:styleId="14">
    <w:name w:val="List Paragraph"/>
    <w:basedOn w:val="1"/>
    <w:qFormat/>
    <w:uiPriority w:val="99"/>
    <w:pPr>
      <w:ind w:firstLine="420" w:firstLineChars="200"/>
    </w:pPr>
  </w:style>
  <w:style w:type="character" w:customStyle="1" w:styleId="15">
    <w:name w:val="Comment Text Char"/>
    <w:basedOn w:val="11"/>
    <w:link w:val="4"/>
    <w:semiHidden/>
    <w:qFormat/>
    <w:locked/>
    <w:uiPriority w:val="99"/>
    <w:rPr>
      <w:rFonts w:cs="Times New Roman"/>
    </w:rPr>
  </w:style>
  <w:style w:type="character" w:customStyle="1" w:styleId="16">
    <w:name w:val="Comment Text Char1"/>
    <w:basedOn w:val="11"/>
    <w:link w:val="4"/>
    <w:semiHidden/>
    <w:qFormat/>
    <w:locked/>
    <w:uiPriority w:val="99"/>
    <w:rPr>
      <w:rFonts w:eastAsia="宋体" w:cs="Times New Roman"/>
      <w:kern w:val="2"/>
      <w:sz w:val="24"/>
      <w:szCs w:val="24"/>
      <w:lang w:val="en-US" w:eastAsia="zh-CN" w:bidi="ar-SA"/>
    </w:rPr>
  </w:style>
  <w:style w:type="character" w:customStyle="1" w:styleId="17">
    <w:name w:val="Body Text Indent 2 Char"/>
    <w:basedOn w:val="11"/>
    <w:link w:val="5"/>
    <w:semiHidden/>
    <w:qFormat/>
    <w:locked/>
    <w:uiPriority w:val="99"/>
    <w:rPr>
      <w:rFonts w:cs="Times New Roman"/>
    </w:rPr>
  </w:style>
  <w:style w:type="character" w:customStyle="1" w:styleId="18">
    <w:name w:val="Body Text Indent 2 Char1"/>
    <w:basedOn w:val="11"/>
    <w:link w:val="5"/>
    <w:semiHidden/>
    <w:qFormat/>
    <w:locked/>
    <w:uiPriority w:val="99"/>
    <w:rPr>
      <w:rFonts w:eastAsia="宋体" w:cs="Times New Roman"/>
      <w:kern w:val="2"/>
      <w:sz w:val="24"/>
      <w:szCs w:val="24"/>
      <w:lang w:val="en-US" w:eastAsia="zh-CN" w:bidi="ar-SA"/>
    </w:rPr>
  </w:style>
  <w:style w:type="character" w:customStyle="1" w:styleId="19">
    <w:name w:val="Footer Char"/>
    <w:basedOn w:val="11"/>
    <w:link w:val="6"/>
    <w:semiHidden/>
    <w:qFormat/>
    <w:locked/>
    <w:uiPriority w:val="99"/>
    <w:rPr>
      <w:rFonts w:cs="Times New Roman"/>
      <w:sz w:val="18"/>
      <w:szCs w:val="18"/>
    </w:rPr>
  </w:style>
  <w:style w:type="character" w:customStyle="1" w:styleId="20">
    <w:name w:val="Footer Char1"/>
    <w:basedOn w:val="11"/>
    <w:link w:val="6"/>
    <w:qFormat/>
    <w:locked/>
    <w:uiPriority w:val="99"/>
    <w:rPr>
      <w:rFonts w:ascii="等线" w:hAnsi="等线" w:eastAsia="等线" w:cs="Times New Roman"/>
      <w:kern w:val="2"/>
      <w:sz w:val="18"/>
      <w:szCs w:val="18"/>
      <w:lang w:val="en-US" w:eastAsia="zh-CN" w:bidi="ar-SA"/>
    </w:rPr>
  </w:style>
  <w:style w:type="character" w:customStyle="1" w:styleId="21">
    <w:name w:val="Header Char"/>
    <w:basedOn w:val="11"/>
    <w:link w:val="7"/>
    <w:semiHidden/>
    <w:qFormat/>
    <w:locked/>
    <w:uiPriority w:val="99"/>
    <w:rPr>
      <w:rFonts w:cs="Times New Roman"/>
      <w:sz w:val="18"/>
      <w:szCs w:val="18"/>
    </w:rPr>
  </w:style>
  <w:style w:type="character" w:customStyle="1" w:styleId="22">
    <w:name w:val="Header Char1"/>
    <w:basedOn w:val="11"/>
    <w:link w:val="7"/>
    <w:qFormat/>
    <w:locked/>
    <w:uiPriority w:val="99"/>
    <w:rPr>
      <w:rFonts w:eastAsia="宋体" w:cs="Times New Roman"/>
      <w:kern w:val="2"/>
      <w:sz w:val="24"/>
      <w:szCs w:val="24"/>
      <w:lang w:val="en-US" w:eastAsia="zh-CN" w:bidi="ar-SA"/>
    </w:rPr>
  </w:style>
  <w:style w:type="character" w:customStyle="1" w:styleId="23">
    <w:name w:val="Comment Subject Char"/>
    <w:basedOn w:val="16"/>
    <w:link w:val="8"/>
    <w:semiHidden/>
    <w:qFormat/>
    <w:locked/>
    <w:uiPriority w:val="99"/>
    <w:rPr>
      <w:b/>
      <w:bCs/>
    </w:rPr>
  </w:style>
  <w:style w:type="character" w:customStyle="1" w:styleId="24">
    <w:name w:val="Comment Subject Char1"/>
    <w:basedOn w:val="16"/>
    <w:link w:val="8"/>
    <w:semiHidden/>
    <w:qFormat/>
    <w:locked/>
    <w:uiPriority w:val="99"/>
    <w:rPr>
      <w:b/>
      <w:bCs/>
    </w:rPr>
  </w:style>
  <w:style w:type="character" w:customStyle="1" w:styleId="25">
    <w:name w:val="font21"/>
    <w:qFormat/>
    <w:uiPriority w:val="99"/>
    <w:rPr>
      <w:rFonts w:ascii="微软雅黑" w:hAnsi="微软雅黑" w:eastAsia="微软雅黑"/>
      <w:color w:val="000000"/>
      <w:sz w:val="22"/>
      <w:u w:val="none"/>
    </w:rPr>
  </w:style>
  <w:style w:type="paragraph" w:customStyle="1" w:styleId="26">
    <w:name w:val="Revision"/>
    <w:qFormat/>
    <w:uiPriority w:val="99"/>
    <w:rPr>
      <w:rFonts w:ascii="Times New Roman" w:hAnsi="Times New Roman" w:eastAsia="宋体" w:cs="Times New Roman"/>
      <w:kern w:val="2"/>
      <w:sz w:val="21"/>
      <w:szCs w:val="24"/>
      <w:lang w:val="en-US" w:eastAsia="zh-CN" w:bidi="ar-SA"/>
    </w:rPr>
  </w:style>
  <w:style w:type="paragraph" w:customStyle="1" w:styleId="27">
    <w:name w:val="一级标题"/>
    <w:basedOn w:val="1"/>
    <w:link w:val="31"/>
    <w:qFormat/>
    <w:uiPriority w:val="0"/>
    <w:pPr>
      <w:overflowPunct w:val="0"/>
      <w:spacing w:line="592" w:lineRule="exact"/>
      <w:ind w:firstLine="31680" w:firstLineChars="200"/>
    </w:pPr>
    <w:rPr>
      <w:rFonts w:hint="eastAsia" w:ascii="黑体" w:hAnsi="黑体" w:eastAsia="黑体" w:cs="黑体"/>
      <w:sz w:val="32"/>
      <w:szCs w:val="32"/>
    </w:rPr>
  </w:style>
  <w:style w:type="paragraph" w:customStyle="1" w:styleId="28">
    <w:name w:val="二级楷体"/>
    <w:basedOn w:val="1"/>
    <w:link w:val="30"/>
    <w:qFormat/>
    <w:uiPriority w:val="0"/>
    <w:pPr>
      <w:overflowPunct w:val="0"/>
      <w:spacing w:line="592" w:lineRule="exact"/>
      <w:ind w:firstLine="31680" w:firstLineChars="200"/>
    </w:pPr>
    <w:rPr>
      <w:rFonts w:ascii="楷体_GB2312" w:hAnsi="楷体_GB2312" w:eastAsia="楷体_GB2312" w:cs="楷体_GB2312"/>
      <w:sz w:val="32"/>
    </w:rPr>
  </w:style>
  <w:style w:type="paragraph" w:customStyle="1" w:styleId="29">
    <w:name w:val="表格"/>
    <w:basedOn w:val="1"/>
    <w:qFormat/>
    <w:uiPriority w:val="0"/>
    <w:pPr>
      <w:adjustRightInd w:val="0"/>
      <w:snapToGrid w:val="0"/>
      <w:jc w:val="center"/>
    </w:pPr>
    <w:rPr>
      <w:rFonts w:hint="eastAsia" w:ascii="方正书宋简体" w:hAnsi="方正书宋简体" w:eastAsia="方正书宋简体" w:cs="方正书宋简体"/>
      <w:sz w:val="20"/>
      <w:szCs w:val="20"/>
    </w:rPr>
  </w:style>
  <w:style w:type="character" w:customStyle="1" w:styleId="30">
    <w:name w:val="二级楷体 Char"/>
    <w:link w:val="28"/>
    <w:qFormat/>
    <w:uiPriority w:val="0"/>
    <w:rPr>
      <w:rFonts w:ascii="楷体_GB2312" w:hAnsi="楷体_GB2312" w:eastAsia="楷体_GB2312" w:cs="楷体_GB2312"/>
      <w:sz w:val="32"/>
    </w:rPr>
  </w:style>
  <w:style w:type="character" w:customStyle="1" w:styleId="31">
    <w:name w:val="一级标题 Char"/>
    <w:link w:val="27"/>
    <w:qFormat/>
    <w:uiPriority w:val="0"/>
    <w:rPr>
      <w:rFonts w:hint="eastAsia" w:ascii="黑体" w:hAnsi="黑体" w:eastAsia="黑体" w:cs="黑体"/>
      <w:sz w:val="32"/>
      <w:szCs w:val="32"/>
    </w:rPr>
  </w:style>
  <w:style w:type="paragraph" w:customStyle="1" w:styleId="32">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175</Pages>
  <Words>68526</Words>
  <Characters>73820</Characters>
  <Lines>0</Lines>
  <Paragraphs>0</Paragraphs>
  <TotalTime>3</TotalTime>
  <ScaleCrop>false</ScaleCrop>
  <LinksUpToDate>false</LinksUpToDate>
  <CharactersWithSpaces>77400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2023-07-13T00:12:00Z</dcterms:created>
  <dc:creator>Administrator</dc:creator>
  <cp:lastModifiedBy>省医保局</cp:lastModifiedBy>
  <cp:lastPrinted>2023-07-13T00:13:00Z</cp:lastPrinted>
  <dcterms:modified xsi:type="dcterms:W3CDTF">2023-08-02T00:18:54Z</dcterms:modified>
  <dc:title>省医疗保障局党组2023年第15次会议材料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5D89774BF54D4F859F29884525352279_13</vt:lpwstr>
  </property>
</Properties>
</file>