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469" w:afterLines="150" w:line="592" w:lineRule="exact"/>
        <w:jc w:val="both"/>
        <w:textAlignment w:val="auto"/>
        <w:rPr>
          <w:rFonts w:hint="default" w:ascii="Times New Roman" w:hAnsi="Times New Roman" w:eastAsia="黑体" w:cs="Times New Roman"/>
          <w:bCs/>
          <w:color w:val="auto"/>
          <w:sz w:val="32"/>
          <w:szCs w:val="32"/>
        </w:rPr>
      </w:pPr>
      <w:bookmarkStart w:id="0" w:name="_GoBack"/>
      <w:bookmarkEnd w:id="0"/>
      <w:r>
        <w:rPr>
          <w:rFonts w:hint="default" w:ascii="Times New Roman" w:hAnsi="Times New Roman" w:eastAsia="黑体" w:cs="Times New Roman"/>
          <w:bCs/>
          <w:color w:val="auto"/>
          <w:sz w:val="32"/>
          <w:szCs w:val="32"/>
        </w:rPr>
        <w:t>附件2</w:t>
      </w:r>
    </w:p>
    <w:p>
      <w:pPr>
        <w:keepNext w:val="0"/>
        <w:keepLines w:val="0"/>
        <w:pageBreakBefore w:val="0"/>
        <w:kinsoku/>
        <w:wordWrap/>
        <w:overflowPunct w:val="0"/>
        <w:topLinePunct w:val="0"/>
        <w:autoSpaceDE/>
        <w:autoSpaceDN/>
        <w:bidi w:val="0"/>
        <w:spacing w:line="592" w:lineRule="exact"/>
        <w:jc w:val="center"/>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简体" w:cs="Times New Roman"/>
          <w:bCs/>
          <w:color w:val="auto"/>
          <w:sz w:val="44"/>
          <w:szCs w:val="44"/>
        </w:rPr>
        <w:t>实行按疗效价值付费的中医优势病种收治标准和疗效评价标准</w:t>
      </w:r>
    </w:p>
    <w:p>
      <w:pPr>
        <w:keepNext w:val="0"/>
        <w:keepLines w:val="0"/>
        <w:pageBreakBefore w:val="0"/>
        <w:widowControl w:val="0"/>
        <w:kinsoku/>
        <w:wordWrap/>
        <w:overflowPunct w:val="0"/>
        <w:topLinePunct w:val="0"/>
        <w:autoSpaceDE/>
        <w:autoSpaceDN/>
        <w:bidi w:val="0"/>
        <w:adjustRightInd/>
        <w:snapToGrid/>
        <w:spacing w:line="592" w:lineRule="exact"/>
        <w:ind w:firstLine="480" w:firstLineChars="200"/>
        <w:jc w:val="both"/>
        <w:textAlignment w:val="auto"/>
        <w:rPr>
          <w:rFonts w:hint="default" w:ascii="Times New Roman" w:hAnsi="Times New Roman" w:eastAsia="黑体" w:cs="Times New Roman"/>
          <w:color w:val="auto"/>
          <w:sz w:val="24"/>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一、混合痔</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1.中医诊断：第一诊断为混合痔（TCD编码 A08.03.01.03）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2.西医诊断：第一诊断为混合痔（ICD-10编码 K64.811）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（二）收治标准（即手术适应症）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诊断符合混合痔的患者，临床症状明显，经保守治疗无效者；混合痔的内痔部分达到二期以上；外痔突发血栓、感染，保守治疗无效者。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429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主要手术操作</w:t>
            </w: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混合痔外剥内扎术</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其他手术操作</w:t>
            </w: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内痔硬化剂注射治疗</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书宋简体" w:cs="Times New Roman"/>
                <w:color w:val="auto"/>
                <w:sz w:val="20"/>
                <w:szCs w:val="20"/>
              </w:rPr>
            </w:pP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内痔套扎治疗（肛周常见疾病套扎手术治疗）</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17.98320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1.行中医肛肠专科特色手术治疗。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2.术后手术创面使用中药药液熏洗坐浴。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3.术后手术创面处运用中医特色药物专科换药以促进伤口肉芽生长及创面愈合。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4.中医特色疗法辨证施治：如穴位贴敷、隔物灸治疗、耳穴压豆、中药热奄包、中医定向透药、中药保留灌肠等治疗改善术后疼痛、调理排便、预防术后尿潴留。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5.根据疾病不同阶段辨证施治予口服中药或中成药。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val="0"/>
          <w:bCs/>
          <w:color w:val="auto"/>
          <w:sz w:val="32"/>
          <w:szCs w:val="32"/>
        </w:rPr>
        <w:t>（五）住院天数：</w:t>
      </w:r>
      <w:r>
        <w:rPr>
          <w:rFonts w:hint="default" w:ascii="Times New Roman" w:hAnsi="Times New Roman" w:eastAsia="仿宋_GB2312" w:cs="Times New Roman"/>
          <w:bCs/>
          <w:color w:val="auto"/>
          <w:sz w:val="32"/>
          <w:szCs w:val="32"/>
        </w:rPr>
        <w:t>5天≤住院日≤10天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1.患者无发热、伤口疼痛可忍受。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2.肛门无狭窄、排便功能基本正常、创面无渗出、无水肿。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3.没有需要住院继续治疗的严重并发症。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二、高位肛瘘/复杂性肛瘘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1.中医诊断：第一诊断为肛漏（TCD编码A08.03.06）</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2.西医诊断：第一诊断为高位肛瘘（ICD-10编码K60.301）、复杂性肛瘘（ICD-10编码K60.303）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（二）收治标准（即手术适应症）</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jc w:val="both"/>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符合高位肛瘘或者复杂性肛瘘的诊断，无绝对手术禁忌症的患者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高位复杂肛瘘挂线治疗</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17.98124</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1.行中医肛肠专科特色手术治疗；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行高位复杂肛瘘挂线治疗：切开后潜行剔除部分瘘管后，切除感染灶内口；瘘管涉及外括约肌行挂线紧线术，则内口探针或弯钳自内口处或者瘘管最高薄弱点处穿出，挂以橡皮筋，一端从外口出，一端从肛内内口处穿出，再收紧橡皮筋两端，使其松紧适宜后，结扎固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3.术后创面使用特色中药熏洗坐浴、使用特色中成药软膏进行肛瘘专科换药；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4.术后橡皮筋老化，弹性降低，更换橡皮筋行中医肛肠术后紧线治疗；</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5.肛瘘术后创面老化的清创治疗、创面引流不畅的切口修整；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6.中医特色疗法辨证施治：如中医隔物灸法、穴位贴敷、耳穴压豆改善术后疼痛、调理排便、预防术后尿潴留；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7.根据疾病不同阶段辨证施治予口服中药或中成药。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（五）住院天数：</w:t>
      </w:r>
      <w:r>
        <w:rPr>
          <w:rFonts w:hint="default" w:ascii="Times New Roman" w:hAnsi="Times New Roman" w:eastAsia="仿宋_GB2312" w:cs="Times New Roman"/>
          <w:color w:val="auto"/>
          <w:sz w:val="32"/>
          <w:szCs w:val="32"/>
        </w:rPr>
        <w:t>10天≤住院日≤21天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1.括约肌挂线之橡皮筋已脱落或虽未脱落但无需再次紧线，切口引流通畅，创面无脓性渗出物；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2.肛门疼痛缓解，基本不影响正常活动，排便正常。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3.没有其他需要住院继续治疗的严重并发症。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三、直肠脱垂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1.中医诊断：第一诊断为脱肛（TCD编码：A08.03.07）</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2.西医诊断：第一诊断为直肠脱垂（ICD-10编码：K62.300）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诊断符合直肠脱垂的成人患者，包括临床常用各类分型：Ⅰ、Ⅱ、Ⅲ度直肠脱垂、直肠粘膜脱垂；或婴幼儿直肠脱垂经保守治疗无效，仍有肛门坠胀、排便困难等症状的患者。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直肠脱垂注射治疗</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17.98510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肛肠特色手术治疗。术中根据脱垂程度选择适宜的手术方式，仅直肠粘膜脱垂者选用直肠脱垂黏膜下注射治疗；直肠全层脱垂者选用选用直肠脱垂注射治疗；伴肛门括约肌松弛或肛门失禁者，选用肛外括约肌折叠术或肛门成形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2.术后创面使用特色中药熏洗坐浴、使用特色中药软膏进行专科换药；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3.术后选择中医特色疗法辨证施治：穴位贴敷、隔物灸、耳穴压豆等治疗改善术后疼痛、调理排便、预防术后尿潴留；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4.根据疾病不同阶段中医</w:t>
      </w:r>
      <w:r>
        <w:rPr>
          <w:rFonts w:hint="eastAsia" w:ascii="Times New Roman" w:hAnsi="Times New Roman" w:eastAsia="仿宋_GB2312" w:cs="Times New Roman"/>
          <w:color w:val="auto"/>
          <w:sz w:val="32"/>
          <w:lang w:eastAsia="zh-CN"/>
        </w:rPr>
        <w:t>辨证施治</w:t>
      </w:r>
      <w:r>
        <w:rPr>
          <w:rFonts w:hint="default" w:ascii="Times New Roman" w:hAnsi="Times New Roman" w:eastAsia="仿宋_GB2312" w:cs="Times New Roman"/>
          <w:color w:val="auto"/>
          <w:sz w:val="32"/>
        </w:rPr>
        <w:t>选择内服中药或中成药；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5.术后中医康复疗法：如盆底生物反馈治疗、提肛运动、养成良好排便习惯等。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b w:val="0"/>
          <w:bCs/>
          <w:color w:val="auto"/>
          <w:sz w:val="32"/>
        </w:rPr>
        <w:t>（五）住院天数：</w:t>
      </w:r>
      <w:r>
        <w:rPr>
          <w:rFonts w:hint="default" w:ascii="Times New Roman" w:hAnsi="Times New Roman" w:eastAsia="仿宋_GB2312" w:cs="Times New Roman"/>
          <w:color w:val="auto"/>
          <w:sz w:val="32"/>
        </w:rPr>
        <w:t>10天≤住院日≤14天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color w:val="auto"/>
          <w:sz w:val="32"/>
        </w:rPr>
      </w:pPr>
      <w:r>
        <w:rPr>
          <w:rFonts w:hint="default" w:ascii="Times New Roman" w:hAnsi="Times New Roman" w:eastAsia="楷体_GB2312" w:cs="Times New Roman"/>
          <w:b w:val="0"/>
          <w:bCs/>
          <w:color w:val="auto"/>
          <w:sz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1.肛门坠胀、排便困难等症状基本消失或减轻。</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2.腹压增加或排便时直肠无脱垂或无全层脱垂。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3.肛门指诊肛门直肠内无堆积的直肠黏膜或脱出物，肛门闭合完全。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sz w:val="32"/>
          <w:szCs w:val="32"/>
        </w:rPr>
        <w:t>四、锁骨骨折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2.西医诊断：第一诊断为锁骨骨折（ICD-10编码：S42.0）。</w:t>
      </w:r>
    </w:p>
    <w:tbl>
      <w:tblPr>
        <w:tblStyle w:val="9"/>
        <w:tblW w:w="488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锁骨胸骨端骨折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锁骨干骨折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锁骨肩峰端骨折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锁骨多发性骨折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开放性锁骨骨折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S42.010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2.复位后，骨折断端有继发移位倾向。</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3.合并肩关节处的脱位或骨骺骨折。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2.外固定治疗及调整：小夹板配合“8”字绷带固定，或锁骨带固定，三角巾悬吊。每日调整外固定松紧度。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11"/>
          <w:sz w:val="32"/>
        </w:rPr>
      </w:pPr>
      <w:r>
        <w:rPr>
          <w:rFonts w:hint="default" w:ascii="Times New Roman" w:hAnsi="Times New Roman" w:eastAsia="仿宋_GB2312" w:cs="Times New Roman"/>
          <w:color w:val="auto"/>
          <w:sz w:val="32"/>
        </w:rPr>
        <w:t>5.理筋</w:t>
      </w:r>
      <w:r>
        <w:rPr>
          <w:rFonts w:hint="default" w:ascii="Times New Roman" w:hAnsi="Times New Roman" w:eastAsia="仿宋_GB2312" w:cs="Times New Roman"/>
          <w:color w:val="auto"/>
          <w:spacing w:val="-11"/>
          <w:sz w:val="32"/>
        </w:rPr>
        <w:t>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（四）住院天数≥10天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w:t>
      </w:r>
      <w:r>
        <w:rPr>
          <w:rFonts w:hint="eastAsia" w:ascii="Times New Roman" w:hAnsi="Times New Roman" w:eastAsia="仿宋_GB2312" w:cs="Times New Roman"/>
          <w:color w:val="auto"/>
          <w:sz w:val="32"/>
        </w:rPr>
        <w:t>骨折对位对线良好且断端稳定</w:t>
      </w:r>
      <w:r>
        <w:rPr>
          <w:rFonts w:hint="default" w:ascii="Times New Roman" w:hAnsi="Times New Roman" w:eastAsia="仿宋_GB2312" w:cs="Times New Roman"/>
          <w:color w:val="auto"/>
          <w:sz w:val="32"/>
        </w:rPr>
        <w:t>，达到功能复位标准。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（六）治疗性操作</w:t>
      </w:r>
    </w:p>
    <w:tbl>
      <w:tblPr>
        <w:tblStyle w:val="9"/>
        <w:tblW w:w="4880" w:type="pct"/>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80" w:hRule="atLeast"/>
        </w:trPr>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kern w:val="0"/>
                <w:sz w:val="20"/>
                <w:szCs w:val="20"/>
              </w:rPr>
              <w:t>17.97210</w:t>
            </w:r>
          </w:p>
        </w:tc>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锁骨骨折手法整复术</w:t>
            </w:r>
          </w:p>
        </w:tc>
      </w:tr>
    </w:tbl>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五、肱骨上端骨折</w:t>
      </w:r>
    </w:p>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2.西医诊断：第一诊断为肱骨上端骨折（ICD-10编码：S42.2）。</w:t>
      </w:r>
    </w:p>
    <w:tbl>
      <w:tblPr>
        <w:tblStyle w:val="9"/>
        <w:tblW w:w="4855" w:type="pct"/>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0"/>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肱骨上端骨折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肱骨近端骨骺分离</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肱骨解剖颈骨折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肱骨大结节骨折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肱骨小结节骨折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肱骨近端多发性骨折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肱骨外科颈骨折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肱骨头骨折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开放性肱骨上端骨折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3.骨折复位后断端有再移位倾向者。</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4.合并肩关节处的脱位或骨骺损伤。</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92"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17.97220</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肱骨外科颈骨折手法整复术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17.97230</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肱骨大结节骨折手法整复术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六、肱骨干骨折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2.西医诊断：第一诊断为肱骨干骨折（ICD-10编码：S42.3）。</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肱骨干多发性骨折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S42.311</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2.骨折复位后断端有继发移位倾向者。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3.骨折复位后有继发移位倾向者。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4.合并骨端分离移位、不愈合等并发症的骨折。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r>
        <w:rPr>
          <w:rFonts w:hint="default" w:ascii="Times New Roman" w:hAnsi="Times New Roman" w:eastAsia="仿宋_GB2312" w:cs="Times New Roman"/>
          <w:color w:val="auto"/>
          <w:sz w:val="32"/>
        </w:rPr>
        <w: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4.无肱骨干分离移位等并发症。</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17.97240</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肱骨干骨折手法整复术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七、肱骨远端骨折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2.西医诊断：第一诊断为肱骨远端骨折（ICD-10编码：S42.4）。</w:t>
      </w:r>
    </w:p>
    <w:tbl>
      <w:tblPr>
        <w:tblStyle w:val="9"/>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3"/>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肱骨下端骨折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肱骨内上髁骨折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肱骨外上髁骨折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肱骨远端骨骺分离</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肱骨远端T型骨折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肱骨远端多发性骨折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肱骨滑车骨折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肱骨小头骨折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肱骨髁上骨折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肱骨髁间骨折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肱骨内髁骨折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开放性肱骨下端骨折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4.合并关节处的脱位或骨骺分离的骨折。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17.97250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肱骨髁上骨折手法整复术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17.97260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肱骨髁间骨折手法整复术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17.97270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肱骨内外髁骨折手法整复术</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八、桡骨下端骨折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2.西医诊断：第一诊断为桡骨下端骨折（ICD-10编码：S52.50）。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8"/>
        <w:gridCol w:w="4"/>
        <w:gridCol w:w="441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桡骨下端骨折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桡骨远端骨折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桡骨茎突骨折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桡骨远端骨骺分离</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科雷骨折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巴顿骨折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史密斯骨折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盖氏骨折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S52.300x011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桡骨关节内骨折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屈曲型桡骨下端骨折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伸直型桡骨下端骨折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4.合并腕关节处的脱位或骨骺分离的骨折。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92" w:type="pct"/>
        <w:tblInd w:w="10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318"/>
        <w:gridCol w:w="45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2435"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17.972E0</w:t>
            </w:r>
          </w:p>
        </w:tc>
        <w:tc>
          <w:tcPr>
            <w:tcW w:w="2564"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25"/>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桡骨下端骨折手法整复术</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九、桡尺骨骨干骨折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2.西医诊断：第一诊断为桡尺骨骨干骨折（ICD-10编码：S52.4）。</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尺骨和桡骨骨干均骨折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桡尺骨骨干骨折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开放性尺骨桡骨骨干骨折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尺骨桡骨闭合性骨折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开放性尺骨桡骨骨折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S52.711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4.合并肘、腕关节处的脱位或骨骺分离的骨折。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pacing w:val="-6"/>
          <w:sz w:val="32"/>
        </w:rPr>
        <w:t>5.理筋手法治疗及关节松动训练等，避免肌肉萎缩、关节僵硬</w:t>
      </w:r>
      <w:r>
        <w:rPr>
          <w:rFonts w:hint="default" w:ascii="Times New Roman" w:hAnsi="Times New Roman" w:eastAsia="仿宋_GB2312" w:cs="Times New Roman"/>
          <w:color w:val="auto"/>
          <w:sz w:val="32"/>
        </w:rPr>
        <w: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kern w:val="0"/>
                <w:sz w:val="20"/>
                <w:szCs w:val="20"/>
              </w:rPr>
              <w:t>17.972A0</w:t>
            </w:r>
          </w:p>
        </w:tc>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桡尺骨干双骨折手法整复术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sz w:val="32"/>
          <w:szCs w:val="32"/>
        </w:rPr>
        <w:t>十、掌骨骨折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2.西医诊断：第一诊断为掌骨骨折（TCD编码：S62.301）。</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第一掌骨基底骨折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第一掌骨干骨折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第一掌骨颈骨折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第一掌骨头骨折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贝内特骨折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开放性第一掌骨骨折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掌骨骨折，其他的</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掌骨骨骺分离</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掌骨基底骨折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掌骨干骨折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掌骨颈骨折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掌骨头骨折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开放性特指掌骨骨折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掌骨多处骨折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开放性多发性掌骨骨折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S62.410</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符合闭合性或开放的（I度）不稳定的掌骨骨折诊断。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2.外固定治疗及调整：小夹板或石膏外固定，每日调整外固定松紧度。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3.闭合性损伤外用中医特色药物、药膏，定期更换药膏；开放性的予以清创、无菌换药、红光治疗，伤口愈合后可予以外用中医特色药物及药膏。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4.伤后三月门诊复查，骨折愈合良好，功能恢复良好。TAM（手指总主动活动度）＞75％，TAF（手指总主动屈曲度）＞200°。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17.972G0</w:t>
            </w:r>
          </w:p>
        </w:tc>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掌指骨骨折手法整复术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 w:val="0"/>
          <w:bCs w:val="0"/>
          <w:color w:val="auto"/>
          <w:kern w:val="0"/>
          <w:sz w:val="32"/>
          <w:szCs w:val="32"/>
          <w:lang w:val="zh-CN"/>
        </w:rPr>
      </w:pPr>
      <w:r>
        <w:rPr>
          <w:rFonts w:hint="default" w:ascii="Times New Roman" w:hAnsi="Times New Roman" w:eastAsia="黑体" w:cs="Times New Roman"/>
          <w:b w:val="0"/>
          <w:bCs w:val="0"/>
          <w:color w:val="auto"/>
          <w:sz w:val="32"/>
          <w:szCs w:val="32"/>
        </w:rPr>
        <w:t>十一、指骨骨折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2.西医诊断：第一诊断为指骨骨折（ICD-10编码：S62.0）。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拇指骨骺分离</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拇指近节骨折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拇指远节骨折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开放性拇指骨折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手指骨折，其他的</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指骨骨骺分离</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指骨近节骨折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指骨中节骨折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指骨远节骨折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开放性特指指骨骨折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手指多处骨折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开放性多发性指骨骨折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腕和手其他和未特指部位的骨折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开放性腕和手其他和未特指部位骨折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S62.811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符合闭合性或开放的（I度）不稳定的指骨骨折诊断。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2.外固定治疗及调整：小夹板外固定，每日调整外固定松紧度。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4.伤后三月门诊复查，骨折愈合良好，功能恢复良好。TAM（手指总主动活动度）＞70％，TAF（手指总主动屈曲度）＞200°。</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17.972G0</w:t>
            </w:r>
          </w:p>
        </w:tc>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掌指骨骨折手法整复术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十二、股骨粗隆骨折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2.西医诊断：第一诊断为股骨粗隆骨折（ICD-10编码：S72.101）。</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诊断名称</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股骨大粗隆骨折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股骨小粗隆骨折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股骨粗隆间骨折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转子下骨折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股骨粗隆下骨折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S72.200x001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（二）收入住院标准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符合股骨粗隆骨折诊断标准。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2.外固定治疗及调整：每日维持骨牵引，及时调整牵引重量及夹板松紧度。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3.骨折局部外用中医特色药物、药膏，定期更换药膏。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7.物理、药物等疗法预防或治疗下肢深静脉血栓。</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8.老年患者伴随内、外科疾病的相关治疗。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9.骨折长期卧床并发症的预防、护理及治疗。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1.骨折局部无明显肿胀及疼痛。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2.体查：骨折局部压痛、叩击痛缓解或消除。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3.连续三-四次规律复查X片或CT检查，骨折对位对线良好且断端稳定，达到功能复位标准。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股骨转子间骨折手法整复术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十三、股骨干骨折（儿童）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2.西医诊断：第一诊断为：股骨干骨折（TCD编码：S72.900）。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开放性股骨干骨折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S72.310</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3.骨折复位后骨折断端有继发性移位倾向者。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2.外固定治疗及调整：每日维持皮牵引，配合夹板固定，及时调整牵引重量及夹板松紧度。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3.骨折局部外用中医特色药物、药膏，定期更换药膏。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1.骨折局部无明显肿胀及疼痛。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2.体查：骨折局部压痛、叩击痛缓解或消除。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3.连续三-四次规律复查X片或CT检查，骨折对位对线良好且断端稳定，达到功能复位标准。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8"/>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44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244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十四、髌骨骨折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2.西医诊断：第一诊断为髌骨骨折（TCD编码：S82.000）。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髌骨袖套状撕脱骨折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髌骨袖套状骨折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S82.000x004</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符合移位髌骨骨折诊断。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2.外固定治疗及调整：超膝关节石膏固定，每日调整外固定松紧度。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3.连续三次规律复查X线片或CT，骨折对位对线良好且断端稳定，达到解剖或功能复位标准。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17.972L0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十五、胫骨上端骨折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2.西医诊断：第一诊断为胫骨上端骨折（TCD编码：S82.100）。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胫骨近端骨骺分离</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胫骨髁间棘骨折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胫骨外髁骨折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胫骨平台伴髁间骨折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胫骨结节骨折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闭合性胫骨平台骨折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开放性胫骨上端骨折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开放性胫骨头骨折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S82.111</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符合胫骨上端骨折，包括上1/3骨折诊断。</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2.外固定治疗及调整：超膝关节夹板或石膏固定，必要时配合骨牵引，每日调整外固定松紧度或骨牵引力线及重量。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snapToGrid w:val="0"/>
          <w:color w:val="auto"/>
          <w:spacing w:val="-6"/>
          <w:sz w:val="32"/>
        </w:rPr>
      </w:pPr>
      <w:r>
        <w:rPr>
          <w:rFonts w:hint="default" w:ascii="Times New Roman" w:hAnsi="Times New Roman" w:eastAsia="仿宋_GB2312" w:cs="Times New Roman"/>
          <w:snapToGrid w:val="0"/>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7.骨牵引维持及护理。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3.连续三次规律复查X线片或CT，骨折对位对线良好且断端稳定，达到解剖或功能复位标准。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17.972M0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十六、胫腓骨骨折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2.西医诊断：第一诊断为胫腓骨干骨折（ICD-10编码：S82.2）。</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胫骨干骨折伴腓骨骨折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胫腓骨闭合性骨折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胫骨近端骨折伴腓骨骨折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S82.100x012</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符合移位胫腓骨骨折诊断标准。</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2.外固定治疗及调整：超膝、踝关节夹板固定，必要时配合骨牵引，每日调整外固定松紧度或骨牵引力线及重量。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7.每日维持骨牵引，并行相应护理。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17.972N0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十七、腓骨骨折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2.西医诊断：第一诊断为：腓骨骨折（ICD-10编码：S82.400x002）。</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腓骨远端骨骺分离</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腓骨近端骨折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腓骨颈骨折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腓骨小头骨折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腓骨多发性骨折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S82.400x001</w:t>
            </w:r>
          </w:p>
        </w:tc>
      </w:tr>
    </w:tbl>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符合移位腓骨骨折诊断。</w:t>
      </w:r>
    </w:p>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2.外固定治疗及调整：超膝或踝关节夹板或石膏固定，必要时配合骨牵引，每日调整外固定松紧度或骨牵引力线及重量。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7.骨牵引治疗及其护理。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b/>
                <w:bCs/>
                <w:color w:val="auto"/>
              </w:rPr>
            </w:pPr>
            <w:r>
              <w:rPr>
                <w:rFonts w:hint="default" w:ascii="Times New Roman" w:hAnsi="Times New Roman" w:cs="Times New Roman"/>
                <w:b/>
                <w:bCs/>
                <w:color w:val="auto"/>
              </w:rPr>
              <w:t>治疗代码</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b/>
                <w:bCs/>
                <w:color w:val="auto"/>
              </w:rPr>
            </w:pPr>
            <w:r>
              <w:rPr>
                <w:rFonts w:hint="default" w:ascii="Times New Roman" w:hAnsi="Times New Roman" w:cs="Times New Roman"/>
                <w:b/>
                <w:bCs/>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17.972N0</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十八、踝关节骨折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2.西医诊断：第一诊断为踝关节骨折（ICD-10编码：S82.5、S82.6、S82.8）。</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踝关节骨折</w:t>
            </w:r>
          </w:p>
        </w:tc>
        <w:tc>
          <w:tcPr>
            <w:tcW w:w="2500" w:type="pct"/>
            <w:noWrap/>
            <w:vAlign w:val="center"/>
          </w:tcPr>
          <w:p>
            <w:pPr>
              <w:pStyle w:val="29"/>
              <w:keepNext w:val="0"/>
              <w:keepLines w:val="0"/>
              <w:pageBreakBefore w:val="0"/>
              <w:wordWrap/>
              <w:topLinePunct w:val="0"/>
              <w:autoSpaceDE/>
              <w:autoSpaceDN/>
              <w:bidi w:val="0"/>
              <w:spacing w:line="240" w:lineRule="exac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S82.800x082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内踝骨折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开放性内踝骨折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外踝骨折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开放性外踝骨折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踝骨骨折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踝骨闭合性骨折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双踝骨折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开放性双踝骨折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三踝骨折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开放性三踝骨折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S82.811</w:t>
            </w:r>
          </w:p>
        </w:tc>
      </w:tr>
    </w:tbl>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符合闭合性不稳定性的踝关节骨折诊断。</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2.外固定治疗及调整：小夹板配合直角托板固定或石膏外固定，每日调整外固定松紧度。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900"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治疗代码</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17.972P0</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踝关节单踝骨折手法整复术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17.972Q0</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踝关节骨折脱位手法整复术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十九、跖骨骨折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2.西医诊断：第一诊断为跖骨骨折（TCD编码：S92.0）。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跖骨骨折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开放性跖骨骨折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跖骨基底骨折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S92.300x003</w:t>
            </w:r>
          </w:p>
        </w:tc>
      </w:tr>
    </w:tbl>
    <w:p>
      <w:pPr>
        <w:pStyle w:val="28"/>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符合闭合性或开放的（I度）不稳定的跖骨骨干及基底部骨折诊断。</w:t>
      </w:r>
    </w:p>
    <w:p>
      <w:pPr>
        <w:pStyle w:val="28"/>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2.外固定治疗及调整：夹板或石膏外固定，每日观察外固定松紧度。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3.住院期间连续四次规律复查X线或CT检查，骨折对位对线良好且断端稳定，达到功能复位标准。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4.伤后三月门诊复查，骨折愈合良好，负重、行走功能正常。</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17.972R0</w:t>
            </w:r>
          </w:p>
        </w:tc>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足部骨折手法整复术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二十、趾骨骨折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b/>
          <w:bCs/>
          <w:color w:val="auto"/>
          <w:sz w:val="24"/>
        </w:rPr>
      </w:pPr>
      <w:r>
        <w:rPr>
          <w:rFonts w:hint="default" w:ascii="Times New Roman" w:hAnsi="Times New Roman" w:eastAsia="仿宋_GB2312" w:cs="Times New Roman"/>
          <w:color w:val="auto"/>
          <w:sz w:val="32"/>
        </w:rPr>
        <w:t>2.西医诊断：第一诊断为趾骨骨折（TCD编码：</w:t>
      </w:r>
      <w:r>
        <w:rPr>
          <w:rFonts w:hint="default" w:ascii="Times New Roman" w:hAnsi="Times New Roman" w:eastAsia="仿宋_GB2312" w:cs="Times New Roman"/>
          <w:color w:val="auto"/>
          <w:kern w:val="0"/>
          <w:sz w:val="32"/>
        </w:rPr>
        <w:t>S92.500x001</w:t>
      </w:r>
      <w:r>
        <w:rPr>
          <w:rFonts w:hint="default" w:ascii="Times New Roman" w:hAnsi="Times New Roman" w:eastAsia="仿宋_GB2312" w:cs="Times New Roman"/>
          <w:color w:val="auto"/>
          <w:sz w:val="32"/>
        </w:rPr>
        <w:t>）</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趾骨骨折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S92.500x001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拇趾骨折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开放性拇趾骨折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开发性特指趾骨骨折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S92.510</w:t>
            </w:r>
          </w:p>
        </w:tc>
      </w:tr>
    </w:tbl>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符合闭合性或开放性、不稳定的趾骨骨折诊断。</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2.外固定治疗及调整：小夹板或石膏外固定，每日调整外固定松紧度。</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3.住院期间连续四次规律复查X线或CT检查，骨折对位对线良好且断端稳定，达到功能复位标准。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4.伤后三月门诊复查，骨折愈合良好，负重、行走功能正常。</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17.972R0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足部骨折手法整复术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二十一、单纯性胸腰椎骨折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2.西医诊断：第一诊断为胸椎骨折、腰椎骨折（TCD编码：S22.000、</w:t>
      </w:r>
      <w:r>
        <w:rPr>
          <w:rFonts w:hint="default" w:ascii="Times New Roman" w:hAnsi="Times New Roman" w:eastAsia="仿宋_GB2312" w:cs="Times New Roman"/>
          <w:color w:val="auto"/>
          <w:kern w:val="0"/>
          <w:sz w:val="32"/>
        </w:rPr>
        <w:t>S32.000x002</w:t>
      </w:r>
      <w:r>
        <w:rPr>
          <w:rFonts w:hint="default" w:ascii="Times New Roman" w:hAnsi="Times New Roman" w:eastAsia="仿宋_GB2312" w:cs="Times New Roman"/>
          <w:color w:val="auto"/>
          <w:sz w:val="32"/>
        </w:rPr>
        <w:t>）。</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胸椎棘突骨折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胸椎压缩性骨折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胸椎神经弓骨折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胸椎横突骨折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胸椎椎弓骨折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胸椎骨折T1/T2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胸椎骨折T3/T4</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胸椎骨折T5/T6</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胸椎骨折T7/T8</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胸椎骨折T9/T10</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胸椎骨折T11/T12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胸椎多处骨折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腰椎压缩性骨折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腰椎骨折L1</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腰椎骨折L3</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腰椎骨折L4</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腰椎骨折L5</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S32.000x051</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1.胸腰背部疼痛、肿胀、活动受限，压叩痛、后凸畸形或伴相应神经症状。</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2.影像学资料明确诊断，骨折部位明确。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3.胸腰背症状严重，影响日常生活。</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1.正骨手法复位，卧床休息。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2.胸腰椎垫枕复位治疗，必要时外固定支具固定。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3.外固定治疗及调整：胸腰围支具固定，每日调整外固定松紧度。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6.理筋手法治疗及关节松动训练等，避免肌肉萎缩、关节僵硬。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8.练功疗法（背肌、呼吸肌、肢体、排便功能等锻炼）。</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9.抗凝治疗预防下肢深静脉血栓。</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10.可根据病情需要选择使用改善骨代谢、止痛等药物。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（四）标准住院日为≥10天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1.胸背部无明显疼痛。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2.X线片复查骨折椎体高度维持稳定。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3.胸腰背部症状及生活质量明显改善。</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17.972S0</w:t>
            </w:r>
          </w:p>
        </w:tc>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脊柱骨折手法整复术</w:t>
            </w:r>
          </w:p>
        </w:tc>
      </w:tr>
    </w:tbl>
    <w:p>
      <w:pPr>
        <w:bidi w:val="0"/>
        <w:jc w:val="both"/>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701" w:left="1531" w:header="136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9e689182-e91a-47ae-b1a7-8471f5e53238"/>
  </w:docVars>
  <w:rsids>
    <w:rsidRoot w:val="00733F0E"/>
    <w:rsid w:val="0000263C"/>
    <w:rsid w:val="00022071"/>
    <w:rsid w:val="000631A0"/>
    <w:rsid w:val="00101EA5"/>
    <w:rsid w:val="00131FD4"/>
    <w:rsid w:val="00152D18"/>
    <w:rsid w:val="00156302"/>
    <w:rsid w:val="001A00C5"/>
    <w:rsid w:val="001D0DB0"/>
    <w:rsid w:val="00211614"/>
    <w:rsid w:val="0025381E"/>
    <w:rsid w:val="002555AB"/>
    <w:rsid w:val="002A0D2E"/>
    <w:rsid w:val="002A5E80"/>
    <w:rsid w:val="003023E4"/>
    <w:rsid w:val="00362159"/>
    <w:rsid w:val="00392679"/>
    <w:rsid w:val="003A4BE1"/>
    <w:rsid w:val="003D3D33"/>
    <w:rsid w:val="00414E58"/>
    <w:rsid w:val="00470E8A"/>
    <w:rsid w:val="004B60AB"/>
    <w:rsid w:val="004E54ED"/>
    <w:rsid w:val="004F6DEE"/>
    <w:rsid w:val="00502666"/>
    <w:rsid w:val="005931C3"/>
    <w:rsid w:val="005E1137"/>
    <w:rsid w:val="006103E8"/>
    <w:rsid w:val="00632D0D"/>
    <w:rsid w:val="00657320"/>
    <w:rsid w:val="006D6BA9"/>
    <w:rsid w:val="006F4FE4"/>
    <w:rsid w:val="00710E28"/>
    <w:rsid w:val="00720EEA"/>
    <w:rsid w:val="00733F0E"/>
    <w:rsid w:val="00736909"/>
    <w:rsid w:val="00756991"/>
    <w:rsid w:val="008244C2"/>
    <w:rsid w:val="00893338"/>
    <w:rsid w:val="00895922"/>
    <w:rsid w:val="008B4004"/>
    <w:rsid w:val="00934B2E"/>
    <w:rsid w:val="00985682"/>
    <w:rsid w:val="009B7EC9"/>
    <w:rsid w:val="009C632D"/>
    <w:rsid w:val="00A17508"/>
    <w:rsid w:val="00A77690"/>
    <w:rsid w:val="00AA0F26"/>
    <w:rsid w:val="00AA6ECF"/>
    <w:rsid w:val="00AF1664"/>
    <w:rsid w:val="00BC26BD"/>
    <w:rsid w:val="00BF0E9A"/>
    <w:rsid w:val="00C25F30"/>
    <w:rsid w:val="00C64FF9"/>
    <w:rsid w:val="00C94727"/>
    <w:rsid w:val="00CC267A"/>
    <w:rsid w:val="00D10A2D"/>
    <w:rsid w:val="00D50BD7"/>
    <w:rsid w:val="00D523DE"/>
    <w:rsid w:val="00D74B25"/>
    <w:rsid w:val="00D85BC4"/>
    <w:rsid w:val="00D85D36"/>
    <w:rsid w:val="00DA2CD4"/>
    <w:rsid w:val="00E23181"/>
    <w:rsid w:val="00E27D5C"/>
    <w:rsid w:val="00E40081"/>
    <w:rsid w:val="00E4784B"/>
    <w:rsid w:val="00E755B1"/>
    <w:rsid w:val="00E9385F"/>
    <w:rsid w:val="00EA5BE4"/>
    <w:rsid w:val="00EF068F"/>
    <w:rsid w:val="00EF439C"/>
    <w:rsid w:val="00F11A99"/>
    <w:rsid w:val="00F17CA3"/>
    <w:rsid w:val="00F30495"/>
    <w:rsid w:val="00F65B0B"/>
    <w:rsid w:val="00FB26DE"/>
    <w:rsid w:val="019D579B"/>
    <w:rsid w:val="022B20FA"/>
    <w:rsid w:val="032D0AAA"/>
    <w:rsid w:val="0364087A"/>
    <w:rsid w:val="05783BB1"/>
    <w:rsid w:val="0B900F77"/>
    <w:rsid w:val="0FE313FD"/>
    <w:rsid w:val="108B2143"/>
    <w:rsid w:val="136441CE"/>
    <w:rsid w:val="15F74A50"/>
    <w:rsid w:val="179813FC"/>
    <w:rsid w:val="1B001255"/>
    <w:rsid w:val="1C0D70A6"/>
    <w:rsid w:val="1CAE389A"/>
    <w:rsid w:val="1D5C7B62"/>
    <w:rsid w:val="1E251167"/>
    <w:rsid w:val="20B47E17"/>
    <w:rsid w:val="254F451B"/>
    <w:rsid w:val="29E13BDA"/>
    <w:rsid w:val="2B0D3583"/>
    <w:rsid w:val="2B5E7B9C"/>
    <w:rsid w:val="2DE040AB"/>
    <w:rsid w:val="2E9848D4"/>
    <w:rsid w:val="2EA25DD5"/>
    <w:rsid w:val="33FE1676"/>
    <w:rsid w:val="356279EA"/>
    <w:rsid w:val="37436B42"/>
    <w:rsid w:val="375B6EB7"/>
    <w:rsid w:val="3B4C1641"/>
    <w:rsid w:val="42373B63"/>
    <w:rsid w:val="42614A9B"/>
    <w:rsid w:val="43123A0B"/>
    <w:rsid w:val="44184095"/>
    <w:rsid w:val="46951900"/>
    <w:rsid w:val="476745C6"/>
    <w:rsid w:val="492F5D76"/>
    <w:rsid w:val="4D720CBA"/>
    <w:rsid w:val="5228491B"/>
    <w:rsid w:val="548B151E"/>
    <w:rsid w:val="55C07385"/>
    <w:rsid w:val="5A8A625D"/>
    <w:rsid w:val="5D6E6935"/>
    <w:rsid w:val="5F954112"/>
    <w:rsid w:val="60C170DC"/>
    <w:rsid w:val="60E4111E"/>
    <w:rsid w:val="65266A62"/>
    <w:rsid w:val="65AE14A3"/>
    <w:rsid w:val="675A799A"/>
    <w:rsid w:val="6925746C"/>
    <w:rsid w:val="6BE800CE"/>
    <w:rsid w:val="6EB371B8"/>
    <w:rsid w:val="6F182C61"/>
    <w:rsid w:val="6FB1521A"/>
    <w:rsid w:val="702D6CAF"/>
    <w:rsid w:val="70732FD1"/>
    <w:rsid w:val="70B02058"/>
    <w:rsid w:val="749417EA"/>
    <w:rsid w:val="76F169A8"/>
    <w:rsid w:val="79AA4303"/>
    <w:rsid w:val="7BAE2986"/>
    <w:rsid w:val="7C3A639A"/>
    <w:rsid w:val="7F1B69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2" w:lineRule="exact"/>
      <w:jc w:val="both"/>
    </w:pPr>
    <w:rPr>
      <w:rFonts w:ascii="Calibri" w:hAnsi="Calibri" w:eastAsia="宋体" w:cs="Times New Roman"/>
      <w:kern w:val="2"/>
      <w:sz w:val="21"/>
      <w:szCs w:val="22"/>
      <w:lang w:val="en-US" w:eastAsia="zh-CN" w:bidi="ar-SA"/>
    </w:rPr>
  </w:style>
  <w:style w:type="character" w:default="1" w:styleId="11">
    <w:name w:val="Default Paragraph Font"/>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rPr>
      <w:rFonts w:eastAsia="仿宋_GB2312"/>
      <w:szCs w:val="32"/>
    </w:rPr>
  </w:style>
  <w:style w:type="paragraph" w:styleId="3">
    <w:name w:val="index 5"/>
    <w:basedOn w:val="1"/>
    <w:next w:val="1"/>
    <w:qFormat/>
    <w:uiPriority w:val="0"/>
    <w:pPr>
      <w:ind w:left="1680"/>
    </w:pPr>
  </w:style>
  <w:style w:type="paragraph" w:styleId="4">
    <w:name w:val="annotation text"/>
    <w:basedOn w:val="1"/>
    <w:link w:val="16"/>
    <w:qFormat/>
    <w:uiPriority w:val="99"/>
    <w:pPr>
      <w:jc w:val="left"/>
    </w:pPr>
    <w:rPr>
      <w:rFonts w:ascii="Times New Roman" w:hAnsi="Times New Roman"/>
      <w:szCs w:val="24"/>
    </w:rPr>
  </w:style>
  <w:style w:type="paragraph" w:styleId="5">
    <w:name w:val="Body Text Indent 2"/>
    <w:basedOn w:val="1"/>
    <w:link w:val="18"/>
    <w:qFormat/>
    <w:uiPriority w:val="99"/>
    <w:pPr>
      <w:spacing w:after="120" w:line="480" w:lineRule="auto"/>
      <w:ind w:left="420" w:leftChars="200"/>
    </w:pPr>
    <w:rPr>
      <w:rFonts w:ascii="Times New Roman" w:hAnsi="Times New Roman"/>
      <w:szCs w:val="24"/>
    </w:rPr>
  </w:style>
  <w:style w:type="paragraph" w:styleId="6">
    <w:name w:val="footer"/>
    <w:basedOn w:val="1"/>
    <w:link w:val="20"/>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4"/>
    </w:rPr>
  </w:style>
  <w:style w:type="paragraph" w:styleId="8">
    <w:name w:val="annotation subject"/>
    <w:basedOn w:val="4"/>
    <w:next w:val="4"/>
    <w:link w:val="24"/>
    <w:qFormat/>
    <w:uiPriority w:val="99"/>
    <w:rPr>
      <w:b/>
      <w:bCs/>
    </w:rPr>
  </w:style>
  <w:style w:type="table" w:styleId="10">
    <w:name w:val="Table Grid"/>
    <w:basedOn w:val="9"/>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paragraph" w:styleId="14">
    <w:name w:val="List Paragraph"/>
    <w:basedOn w:val="1"/>
    <w:qFormat/>
    <w:uiPriority w:val="99"/>
    <w:pPr>
      <w:ind w:firstLine="420" w:firstLineChars="200"/>
    </w:pPr>
  </w:style>
  <w:style w:type="character" w:customStyle="1" w:styleId="15">
    <w:name w:val="Comment Text Char"/>
    <w:basedOn w:val="11"/>
    <w:link w:val="4"/>
    <w:semiHidden/>
    <w:qFormat/>
    <w:locked/>
    <w:uiPriority w:val="99"/>
    <w:rPr>
      <w:rFonts w:cs="Times New Roman"/>
    </w:rPr>
  </w:style>
  <w:style w:type="character" w:customStyle="1" w:styleId="16">
    <w:name w:val="Comment Text Char1"/>
    <w:basedOn w:val="11"/>
    <w:link w:val="4"/>
    <w:semiHidden/>
    <w:qFormat/>
    <w:locked/>
    <w:uiPriority w:val="99"/>
    <w:rPr>
      <w:rFonts w:eastAsia="宋体" w:cs="Times New Roman"/>
      <w:kern w:val="2"/>
      <w:sz w:val="24"/>
      <w:szCs w:val="24"/>
      <w:lang w:val="en-US" w:eastAsia="zh-CN" w:bidi="ar-SA"/>
    </w:rPr>
  </w:style>
  <w:style w:type="character" w:customStyle="1" w:styleId="17">
    <w:name w:val="Body Text Indent 2 Char"/>
    <w:basedOn w:val="11"/>
    <w:link w:val="5"/>
    <w:semiHidden/>
    <w:qFormat/>
    <w:locked/>
    <w:uiPriority w:val="99"/>
    <w:rPr>
      <w:rFonts w:cs="Times New Roman"/>
    </w:rPr>
  </w:style>
  <w:style w:type="character" w:customStyle="1" w:styleId="18">
    <w:name w:val="Body Text Indent 2 Char1"/>
    <w:basedOn w:val="11"/>
    <w:link w:val="5"/>
    <w:semiHidden/>
    <w:qFormat/>
    <w:locked/>
    <w:uiPriority w:val="99"/>
    <w:rPr>
      <w:rFonts w:eastAsia="宋体" w:cs="Times New Roman"/>
      <w:kern w:val="2"/>
      <w:sz w:val="24"/>
      <w:szCs w:val="24"/>
      <w:lang w:val="en-US" w:eastAsia="zh-CN" w:bidi="ar-SA"/>
    </w:rPr>
  </w:style>
  <w:style w:type="character" w:customStyle="1" w:styleId="19">
    <w:name w:val="Footer Char"/>
    <w:basedOn w:val="11"/>
    <w:link w:val="6"/>
    <w:semiHidden/>
    <w:qFormat/>
    <w:locked/>
    <w:uiPriority w:val="99"/>
    <w:rPr>
      <w:rFonts w:cs="Times New Roman"/>
      <w:sz w:val="18"/>
      <w:szCs w:val="18"/>
    </w:rPr>
  </w:style>
  <w:style w:type="character" w:customStyle="1" w:styleId="20">
    <w:name w:val="Footer Char1"/>
    <w:basedOn w:val="11"/>
    <w:link w:val="6"/>
    <w:qFormat/>
    <w:locked/>
    <w:uiPriority w:val="99"/>
    <w:rPr>
      <w:rFonts w:ascii="等线" w:hAnsi="等线" w:eastAsia="等线" w:cs="Times New Roman"/>
      <w:kern w:val="2"/>
      <w:sz w:val="18"/>
      <w:szCs w:val="18"/>
      <w:lang w:val="en-US" w:eastAsia="zh-CN" w:bidi="ar-SA"/>
    </w:rPr>
  </w:style>
  <w:style w:type="character" w:customStyle="1" w:styleId="21">
    <w:name w:val="Header Char"/>
    <w:basedOn w:val="11"/>
    <w:link w:val="7"/>
    <w:semiHidden/>
    <w:qFormat/>
    <w:locked/>
    <w:uiPriority w:val="99"/>
    <w:rPr>
      <w:rFonts w:cs="Times New Roman"/>
      <w:sz w:val="18"/>
      <w:szCs w:val="18"/>
    </w:rPr>
  </w:style>
  <w:style w:type="character" w:customStyle="1" w:styleId="22">
    <w:name w:val="Header Char1"/>
    <w:basedOn w:val="11"/>
    <w:link w:val="7"/>
    <w:qFormat/>
    <w:locked/>
    <w:uiPriority w:val="99"/>
    <w:rPr>
      <w:rFonts w:eastAsia="宋体" w:cs="Times New Roman"/>
      <w:kern w:val="2"/>
      <w:sz w:val="24"/>
      <w:szCs w:val="24"/>
      <w:lang w:val="en-US" w:eastAsia="zh-CN" w:bidi="ar-SA"/>
    </w:rPr>
  </w:style>
  <w:style w:type="character" w:customStyle="1" w:styleId="23">
    <w:name w:val="Comment Subject Char"/>
    <w:basedOn w:val="16"/>
    <w:link w:val="8"/>
    <w:semiHidden/>
    <w:qFormat/>
    <w:locked/>
    <w:uiPriority w:val="99"/>
    <w:rPr>
      <w:b/>
      <w:bCs/>
    </w:rPr>
  </w:style>
  <w:style w:type="character" w:customStyle="1" w:styleId="24">
    <w:name w:val="Comment Subject Char1"/>
    <w:basedOn w:val="16"/>
    <w:link w:val="8"/>
    <w:semiHidden/>
    <w:qFormat/>
    <w:locked/>
    <w:uiPriority w:val="99"/>
    <w:rPr>
      <w:b/>
      <w:bCs/>
    </w:rPr>
  </w:style>
  <w:style w:type="character" w:customStyle="1" w:styleId="25">
    <w:name w:val="font21"/>
    <w:qFormat/>
    <w:uiPriority w:val="99"/>
    <w:rPr>
      <w:rFonts w:ascii="微软雅黑" w:hAnsi="微软雅黑" w:eastAsia="微软雅黑"/>
      <w:color w:val="000000"/>
      <w:sz w:val="22"/>
      <w:u w:val="none"/>
    </w:rPr>
  </w:style>
  <w:style w:type="paragraph" w:customStyle="1" w:styleId="26">
    <w:name w:val="Revision"/>
    <w:qFormat/>
    <w:uiPriority w:val="99"/>
    <w:rPr>
      <w:rFonts w:ascii="Times New Roman" w:hAnsi="Times New Roman" w:eastAsia="宋体" w:cs="Times New Roman"/>
      <w:kern w:val="2"/>
      <w:sz w:val="21"/>
      <w:szCs w:val="24"/>
      <w:lang w:val="en-US" w:eastAsia="zh-CN" w:bidi="ar-SA"/>
    </w:rPr>
  </w:style>
  <w:style w:type="paragraph" w:customStyle="1" w:styleId="27">
    <w:name w:val="一级标题"/>
    <w:basedOn w:val="1"/>
    <w:link w:val="31"/>
    <w:qFormat/>
    <w:uiPriority w:val="0"/>
    <w:pPr>
      <w:overflowPunct w:val="0"/>
      <w:spacing w:line="592" w:lineRule="exact"/>
      <w:ind w:firstLine="31680" w:firstLineChars="200"/>
    </w:pPr>
    <w:rPr>
      <w:rFonts w:hint="eastAsia" w:ascii="黑体" w:hAnsi="黑体" w:eastAsia="黑体" w:cs="黑体"/>
      <w:sz w:val="32"/>
      <w:szCs w:val="32"/>
    </w:rPr>
  </w:style>
  <w:style w:type="paragraph" w:customStyle="1" w:styleId="28">
    <w:name w:val="二级楷体"/>
    <w:basedOn w:val="1"/>
    <w:link w:val="30"/>
    <w:qFormat/>
    <w:uiPriority w:val="0"/>
    <w:pPr>
      <w:overflowPunct w:val="0"/>
      <w:spacing w:line="592" w:lineRule="exact"/>
      <w:ind w:firstLine="31680" w:firstLineChars="200"/>
    </w:pPr>
    <w:rPr>
      <w:rFonts w:ascii="楷体_GB2312" w:hAnsi="楷体_GB2312" w:eastAsia="楷体_GB2312" w:cs="楷体_GB2312"/>
      <w:sz w:val="32"/>
    </w:rPr>
  </w:style>
  <w:style w:type="paragraph" w:customStyle="1" w:styleId="29">
    <w:name w:val="表格"/>
    <w:basedOn w:val="1"/>
    <w:qFormat/>
    <w:uiPriority w:val="0"/>
    <w:pPr>
      <w:adjustRightInd w:val="0"/>
      <w:snapToGrid w:val="0"/>
      <w:jc w:val="center"/>
    </w:pPr>
    <w:rPr>
      <w:rFonts w:hint="eastAsia" w:ascii="方正书宋简体" w:hAnsi="方正书宋简体" w:eastAsia="方正书宋简体" w:cs="方正书宋简体"/>
      <w:sz w:val="20"/>
      <w:szCs w:val="20"/>
    </w:rPr>
  </w:style>
  <w:style w:type="character" w:customStyle="1" w:styleId="30">
    <w:name w:val="二级楷体 Char"/>
    <w:link w:val="28"/>
    <w:qFormat/>
    <w:uiPriority w:val="0"/>
    <w:rPr>
      <w:rFonts w:ascii="楷体_GB2312" w:hAnsi="楷体_GB2312" w:eastAsia="楷体_GB2312" w:cs="楷体_GB2312"/>
      <w:sz w:val="32"/>
    </w:rPr>
  </w:style>
  <w:style w:type="character" w:customStyle="1" w:styleId="31">
    <w:name w:val="一级标题 Char"/>
    <w:link w:val="27"/>
    <w:qFormat/>
    <w:uiPriority w:val="0"/>
    <w:rPr>
      <w:rFonts w:hint="eastAsia" w:ascii="黑体" w:hAnsi="黑体" w:eastAsia="黑体" w:cs="黑体"/>
      <w:sz w:val="32"/>
      <w:szCs w:val="32"/>
    </w:rPr>
  </w:style>
  <w:style w:type="paragraph" w:customStyle="1" w:styleId="32">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35</Pages>
  <Words>10849</Words>
  <Characters>13244</Characters>
  <Lines>0</Lines>
  <Paragraphs>0</Paragraphs>
  <TotalTime>5</TotalTime>
  <ScaleCrop>false</ScaleCrop>
  <LinksUpToDate>false</LinksUpToDate>
  <CharactersWithSpaces>13246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2023-07-13T00:12:00Z</dcterms:created>
  <dc:creator>Administrator</dc:creator>
  <cp:lastModifiedBy>好想吃糖油粑粑</cp:lastModifiedBy>
  <cp:lastPrinted>2023-07-13T00:13:00Z</cp:lastPrinted>
  <dcterms:modified xsi:type="dcterms:W3CDTF">2024-01-10T02:38:10Z</dcterms:modified>
  <dc:title>省医疗保障局党组2023年第15次会议材料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DEE5A8600CFE49708B9E7F6477713C52_13</vt:lpwstr>
  </property>
</Properties>
</file>