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湖南省本级协议零售药店“特门服务”</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申报受理评估办法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为进一步规范省本级协议零售药店开展特殊病种门诊药店服务管理，根据《湖南省医疗保障局关于进一步规范全省协议零售药店开展特殊病种门诊药店服务管理的通知》（</w:t>
      </w:r>
      <w:r>
        <w:rPr>
          <w:rFonts w:hint="eastAsia" w:ascii="仿宋_GB2312" w:hAnsi="仿宋_GB2312" w:eastAsia="仿宋_GB2312" w:cs="仿宋_GB2312"/>
          <w:sz w:val="32"/>
          <w:szCs w:val="32"/>
          <w:lang w:val="en-US" w:eastAsia="zh-CN"/>
        </w:rPr>
        <w:t>湘医保发〔2019〕31号</w:t>
      </w:r>
      <w:r>
        <w:rPr>
          <w:rFonts w:hint="eastAsia" w:ascii="仿宋" w:hAnsi="仿宋" w:eastAsia="仿宋" w:cs="仿宋"/>
          <w:sz w:val="32"/>
          <w:szCs w:val="32"/>
          <w:lang w:val="en-US" w:eastAsia="zh-CN"/>
        </w:rPr>
        <w:t>）精神，制定本办法。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一、申请受理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符合条件的所有省本级协议零售药店均可向受理机构提出“特门服务”申请，受理机构应在受理之日起3个月内完成核查评估，符合条件的，签订服务协议，并纳入系统管理。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华文楷体" w:hAnsi="华文楷体" w:eastAsia="华文楷体" w:cs="华文楷体"/>
          <w:b w:val="0"/>
          <w:bCs w:val="0"/>
          <w:sz w:val="32"/>
          <w:szCs w:val="32"/>
          <w:lang w:val="en-US" w:eastAsia="zh-CN"/>
        </w:rPr>
      </w:pPr>
      <w:r>
        <w:rPr>
          <w:rFonts w:hint="eastAsia" w:ascii="华文楷体" w:hAnsi="华文楷体" w:eastAsia="华文楷体" w:cs="华文楷体"/>
          <w:b w:val="0"/>
          <w:bCs w:val="0"/>
          <w:sz w:val="32"/>
          <w:szCs w:val="32"/>
          <w:lang w:val="en-US" w:eastAsia="zh-CN"/>
        </w:rPr>
        <w:t>（一）受理机构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湖南省医疗生育保险服务中心负责湖南省本级协议零售药店“特门服务”的申报受理评估工作。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华文楷体" w:hAnsi="华文楷体" w:eastAsia="华文楷体" w:cs="华文楷体"/>
          <w:b w:val="0"/>
          <w:bCs w:val="0"/>
          <w:sz w:val="32"/>
          <w:szCs w:val="32"/>
          <w:lang w:val="en-US" w:eastAsia="zh-CN"/>
        </w:rPr>
      </w:pPr>
      <w:r>
        <w:rPr>
          <w:rFonts w:hint="eastAsia" w:ascii="华文楷体" w:hAnsi="华文楷体" w:eastAsia="华文楷体" w:cs="华文楷体"/>
          <w:b w:val="0"/>
          <w:bCs w:val="0"/>
          <w:sz w:val="32"/>
          <w:szCs w:val="32"/>
          <w:lang w:val="en-US" w:eastAsia="zh-CN"/>
        </w:rPr>
        <w:t>（二）申报时间和方式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申报时间为每年3月1日至3月15日（节假日不顺延）。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申报方式为书面申报，符合条件且申报材料齐全的省本级协议零售药店均可提出申报。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华文楷体" w:hAnsi="华文楷体" w:eastAsia="华文楷体" w:cs="华文楷体"/>
          <w:b w:val="0"/>
          <w:bCs w:val="0"/>
          <w:sz w:val="32"/>
          <w:szCs w:val="32"/>
          <w:lang w:val="en-US" w:eastAsia="zh-CN"/>
        </w:rPr>
      </w:pPr>
      <w:r>
        <w:rPr>
          <w:rFonts w:hint="eastAsia" w:ascii="华文楷体" w:hAnsi="华文楷体" w:eastAsia="华文楷体" w:cs="华文楷体"/>
          <w:b w:val="0"/>
          <w:bCs w:val="0"/>
          <w:sz w:val="32"/>
          <w:szCs w:val="32"/>
          <w:lang w:val="en-US" w:eastAsia="zh-CN"/>
        </w:rPr>
        <w:t>（三）申报条件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1.湖南省境内已取得合法药品零售经营许可证的省本级协议零售药店。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sz w:val="32"/>
          <w:szCs w:val="32"/>
          <w:lang w:val="en-US" w:eastAsia="zh-CN"/>
        </w:rPr>
        <w:t>2.</w:t>
      </w:r>
      <w:r>
        <w:rPr>
          <w:rFonts w:hint="eastAsia" w:ascii="仿宋" w:hAnsi="仿宋" w:eastAsia="仿宋" w:cs="仿宋"/>
          <w:i w:val="0"/>
          <w:caps w:val="0"/>
          <w:color w:val="auto"/>
          <w:spacing w:val="0"/>
          <w:sz w:val="32"/>
          <w:szCs w:val="32"/>
          <w:shd w:val="clear" w:color="auto" w:fill="FFFFFF"/>
        </w:rPr>
        <w:t>经营场所相对固定，并有一定规模</w:t>
      </w:r>
      <w:r>
        <w:rPr>
          <w:rFonts w:hint="eastAsia" w:ascii="仿宋" w:hAnsi="仿宋" w:eastAsia="仿宋" w:cs="仿宋"/>
          <w:i w:val="0"/>
          <w:caps w:val="0"/>
          <w:color w:val="auto"/>
          <w:spacing w:val="0"/>
          <w:sz w:val="32"/>
          <w:szCs w:val="32"/>
          <w:shd w:val="clear" w:color="auto" w:fill="FFFFFF"/>
          <w:lang w:eastAsia="zh-CN"/>
        </w:rPr>
        <w:t>。申报门店</w:t>
      </w:r>
      <w:r>
        <w:rPr>
          <w:rFonts w:hint="eastAsia" w:ascii="仿宋" w:hAnsi="仿宋" w:eastAsia="仿宋" w:cs="仿宋"/>
          <w:i w:val="0"/>
          <w:caps w:val="0"/>
          <w:color w:val="auto"/>
          <w:spacing w:val="0"/>
          <w:sz w:val="32"/>
          <w:szCs w:val="32"/>
          <w:shd w:val="clear" w:color="auto" w:fill="FFFFFF"/>
        </w:rPr>
        <w:t>整体面积原则上应200平米</w:t>
      </w:r>
      <w:r>
        <w:rPr>
          <w:rFonts w:hint="eastAsia" w:ascii="仿宋" w:hAnsi="仿宋" w:eastAsia="仿宋" w:cs="仿宋"/>
          <w:i w:val="0"/>
          <w:caps w:val="0"/>
          <w:color w:val="auto"/>
          <w:spacing w:val="0"/>
          <w:sz w:val="32"/>
          <w:szCs w:val="32"/>
          <w:shd w:val="clear" w:color="auto" w:fill="FFFFFF"/>
          <w:lang w:val="en-US" w:eastAsia="zh-CN"/>
        </w:rPr>
        <w:t>左右</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eastAsia="zh-CN"/>
        </w:rPr>
        <w:t>经营</w:t>
      </w:r>
      <w:r>
        <w:rPr>
          <w:rFonts w:hint="eastAsia" w:ascii="仿宋" w:hAnsi="仿宋" w:eastAsia="仿宋" w:cs="仿宋"/>
          <w:i w:val="0"/>
          <w:caps w:val="0"/>
          <w:color w:val="auto"/>
          <w:spacing w:val="0"/>
          <w:sz w:val="32"/>
          <w:szCs w:val="32"/>
          <w:shd w:val="clear" w:color="auto" w:fill="FFFFFF"/>
        </w:rPr>
        <w:t>场所如为租赁，应</w:t>
      </w:r>
      <w:r>
        <w:rPr>
          <w:rFonts w:hint="eastAsia" w:ascii="仿宋" w:hAnsi="仿宋" w:eastAsia="仿宋" w:cs="仿宋"/>
          <w:i w:val="0"/>
          <w:caps w:val="0"/>
          <w:color w:val="auto"/>
          <w:spacing w:val="0"/>
          <w:sz w:val="32"/>
          <w:szCs w:val="32"/>
          <w:shd w:val="clear" w:color="auto" w:fill="FFFFFF"/>
          <w:lang w:eastAsia="zh-CN"/>
        </w:rPr>
        <w:t>能</w:t>
      </w:r>
      <w:r>
        <w:rPr>
          <w:rFonts w:hint="eastAsia" w:ascii="仿宋" w:hAnsi="仿宋" w:eastAsia="仿宋" w:cs="仿宋"/>
          <w:i w:val="0"/>
          <w:caps w:val="0"/>
          <w:color w:val="auto"/>
          <w:spacing w:val="0"/>
          <w:sz w:val="32"/>
          <w:szCs w:val="32"/>
          <w:shd w:val="clear" w:color="auto" w:fill="FFFFFF"/>
        </w:rPr>
        <w:t>提供</w:t>
      </w:r>
      <w:r>
        <w:rPr>
          <w:rFonts w:hint="eastAsia" w:ascii="仿宋" w:hAnsi="仿宋" w:eastAsia="仿宋" w:cs="仿宋"/>
          <w:i w:val="0"/>
          <w:caps w:val="0"/>
          <w:color w:val="auto"/>
          <w:spacing w:val="0"/>
          <w:sz w:val="32"/>
          <w:szCs w:val="32"/>
          <w:shd w:val="clear" w:color="auto" w:fill="FFFFFF"/>
          <w:lang w:val="en-US" w:eastAsia="zh-CN"/>
        </w:rPr>
        <w:t>5</w:t>
      </w:r>
      <w:r>
        <w:rPr>
          <w:rFonts w:hint="eastAsia" w:ascii="仿宋" w:hAnsi="仿宋" w:eastAsia="仿宋" w:cs="仿宋"/>
          <w:i w:val="0"/>
          <w:caps w:val="0"/>
          <w:color w:val="auto"/>
          <w:spacing w:val="0"/>
          <w:sz w:val="32"/>
          <w:szCs w:val="32"/>
          <w:shd w:val="clear" w:color="auto" w:fill="FFFFFF"/>
        </w:rPr>
        <w:t>年以上的</w:t>
      </w:r>
      <w:r>
        <w:rPr>
          <w:rFonts w:hint="eastAsia" w:ascii="仿宋" w:hAnsi="仿宋" w:eastAsia="仿宋" w:cs="仿宋"/>
          <w:i w:val="0"/>
          <w:caps w:val="0"/>
          <w:color w:val="auto"/>
          <w:spacing w:val="0"/>
          <w:sz w:val="32"/>
          <w:szCs w:val="32"/>
          <w:shd w:val="clear" w:color="auto" w:fill="FFFFFF"/>
          <w:lang w:eastAsia="zh-CN"/>
        </w:rPr>
        <w:t>有效</w:t>
      </w:r>
      <w:r>
        <w:rPr>
          <w:rFonts w:hint="eastAsia" w:ascii="仿宋" w:hAnsi="仿宋" w:eastAsia="仿宋" w:cs="仿宋"/>
          <w:i w:val="0"/>
          <w:caps w:val="0"/>
          <w:color w:val="auto"/>
          <w:spacing w:val="0"/>
          <w:sz w:val="32"/>
          <w:szCs w:val="32"/>
          <w:shd w:val="clear" w:color="auto" w:fill="FFFFFF"/>
        </w:rPr>
        <w:t>租赁合同。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3.</w:t>
      </w:r>
      <w:r>
        <w:rPr>
          <w:rFonts w:hint="eastAsia" w:ascii="仿宋" w:hAnsi="仿宋" w:eastAsia="仿宋" w:cs="仿宋"/>
          <w:i w:val="0"/>
          <w:caps w:val="0"/>
          <w:color w:val="auto"/>
          <w:spacing w:val="0"/>
          <w:sz w:val="32"/>
          <w:szCs w:val="32"/>
          <w:shd w:val="clear" w:color="auto" w:fill="FFFFFF"/>
          <w:lang w:eastAsia="zh-CN"/>
        </w:rPr>
        <w:t>设立</w:t>
      </w:r>
      <w:r>
        <w:rPr>
          <w:rFonts w:hint="eastAsia" w:ascii="仿宋" w:hAnsi="仿宋" w:eastAsia="仿宋" w:cs="仿宋"/>
          <w:i w:val="0"/>
          <w:caps w:val="0"/>
          <w:color w:val="auto"/>
          <w:spacing w:val="0"/>
          <w:sz w:val="32"/>
          <w:szCs w:val="32"/>
          <w:shd w:val="clear" w:color="auto" w:fill="FFFFFF"/>
        </w:rPr>
        <w:t>独立的特门业务场所，并设有开票区、顾客休息区、收银区、药房和库房等区域。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4.特门经营场所至少应能配备2名执业药师，提供处方审批和调配、合理用药指导等服务。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5.</w:t>
      </w:r>
      <w:r>
        <w:rPr>
          <w:rFonts w:hint="eastAsia" w:ascii="仿宋" w:hAnsi="仿宋" w:eastAsia="仿宋" w:cs="仿宋"/>
          <w:i w:val="0"/>
          <w:caps w:val="0"/>
          <w:color w:val="auto"/>
          <w:spacing w:val="0"/>
          <w:sz w:val="32"/>
          <w:szCs w:val="32"/>
          <w:shd w:val="clear" w:color="auto" w:fill="FFFFFF"/>
        </w:rPr>
        <w:t>配备特门病种90%以上的基本药物。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6.对外销售特门药品价格不应高于公立医院挂网采购价（以省公共资源中心提供的公立医院药品挂网价格为参照），同时予以适当优惠（下浮5%以上），且不得明显偏离市场价格。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7.具备相对应的计算机管理条件。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华文楷体" w:hAnsi="华文楷体" w:eastAsia="华文楷体" w:cs="华文楷体"/>
          <w:b w:val="0"/>
          <w:bCs w:val="0"/>
          <w:i w:val="0"/>
          <w:caps w:val="0"/>
          <w:color w:val="auto"/>
          <w:spacing w:val="0"/>
          <w:sz w:val="32"/>
          <w:szCs w:val="32"/>
          <w:shd w:val="clear" w:color="auto" w:fill="FFFFFF"/>
          <w:lang w:val="en-US" w:eastAsia="zh-CN"/>
        </w:rPr>
      </w:pPr>
      <w:r>
        <w:rPr>
          <w:rFonts w:hint="eastAsia" w:ascii="华文楷体" w:hAnsi="华文楷体" w:eastAsia="华文楷体" w:cs="华文楷体"/>
          <w:b w:val="0"/>
          <w:bCs w:val="0"/>
          <w:i w:val="0"/>
          <w:caps w:val="0"/>
          <w:color w:val="auto"/>
          <w:spacing w:val="0"/>
          <w:sz w:val="32"/>
          <w:szCs w:val="32"/>
          <w:shd w:val="clear" w:color="auto" w:fill="FFFFFF"/>
          <w:lang w:val="en-US" w:eastAsia="zh-CN"/>
        </w:rPr>
        <w:t>（四）提供材料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lang w:val="en-US" w:eastAsia="zh-CN"/>
        </w:rPr>
        <w:t>1.</w:t>
      </w:r>
      <w:r>
        <w:rPr>
          <w:rFonts w:hint="eastAsia" w:ascii="仿宋" w:hAnsi="仿宋" w:eastAsia="仿宋" w:cs="仿宋"/>
          <w:i w:val="0"/>
          <w:caps w:val="0"/>
          <w:color w:val="auto"/>
          <w:spacing w:val="0"/>
          <w:sz w:val="32"/>
          <w:szCs w:val="32"/>
          <w:shd w:val="clear" w:color="auto" w:fill="FFFFFF"/>
        </w:rPr>
        <w:t>基本医疗报销特殊门诊药店申请表</w:t>
      </w:r>
      <w:r>
        <w:rPr>
          <w:rFonts w:hint="eastAsia" w:ascii="仿宋" w:hAnsi="仿宋" w:eastAsia="仿宋" w:cs="仿宋"/>
          <w:i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营业执照、药品经营许可证</w:t>
      </w:r>
      <w:r>
        <w:rPr>
          <w:rFonts w:hint="eastAsia" w:ascii="仿宋" w:hAnsi="仿宋" w:eastAsia="仿宋" w:cs="仿宋"/>
          <w:i w:val="0"/>
          <w:caps w:val="0"/>
          <w:color w:val="auto"/>
          <w:spacing w:val="0"/>
          <w:sz w:val="32"/>
          <w:szCs w:val="32"/>
          <w:shd w:val="clear" w:color="auto" w:fill="FFFFFF"/>
          <w:lang w:eastAsia="zh-CN"/>
        </w:rPr>
        <w:t>复印件。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6"/>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lang w:val="en-US" w:eastAsia="zh-CN"/>
        </w:rPr>
        <w:t>3.</w:t>
      </w:r>
      <w:r>
        <w:rPr>
          <w:rFonts w:hint="eastAsia" w:ascii="仿宋" w:hAnsi="仿宋" w:eastAsia="仿宋" w:cs="仿宋"/>
          <w:i w:val="0"/>
          <w:caps w:val="0"/>
          <w:color w:val="auto"/>
          <w:spacing w:val="-6"/>
          <w:sz w:val="32"/>
          <w:szCs w:val="32"/>
          <w:shd w:val="clear" w:color="auto" w:fill="FFFFFF"/>
          <w:lang w:val="en-US" w:eastAsia="zh-CN"/>
        </w:rPr>
        <w:t>门店</w:t>
      </w:r>
      <w:r>
        <w:rPr>
          <w:rFonts w:hint="eastAsia" w:ascii="仿宋" w:hAnsi="仿宋" w:eastAsia="仿宋" w:cs="仿宋"/>
          <w:i w:val="0"/>
          <w:caps w:val="0"/>
          <w:color w:val="auto"/>
          <w:spacing w:val="-6"/>
          <w:sz w:val="32"/>
          <w:szCs w:val="32"/>
          <w:shd w:val="clear" w:color="auto" w:fill="FFFFFF"/>
        </w:rPr>
        <w:t>专业技术人员</w:t>
      </w:r>
      <w:r>
        <w:rPr>
          <w:rFonts w:hint="eastAsia" w:ascii="仿宋" w:hAnsi="仿宋" w:eastAsia="仿宋" w:cs="仿宋"/>
          <w:i w:val="0"/>
          <w:caps w:val="0"/>
          <w:color w:val="auto"/>
          <w:spacing w:val="-6"/>
          <w:sz w:val="32"/>
          <w:szCs w:val="32"/>
          <w:shd w:val="clear" w:color="auto" w:fill="FFFFFF"/>
          <w:lang w:eastAsia="zh-CN"/>
        </w:rPr>
        <w:t>名单和执业</w:t>
      </w:r>
      <w:r>
        <w:rPr>
          <w:rFonts w:hint="eastAsia" w:ascii="仿宋" w:hAnsi="仿宋" w:eastAsia="仿宋" w:cs="仿宋"/>
          <w:i w:val="0"/>
          <w:caps w:val="0"/>
          <w:color w:val="auto"/>
          <w:spacing w:val="-6"/>
          <w:sz w:val="32"/>
          <w:szCs w:val="32"/>
          <w:shd w:val="clear" w:color="auto" w:fill="FFFFFF"/>
        </w:rPr>
        <w:t>药师资格证</w:t>
      </w:r>
      <w:r>
        <w:rPr>
          <w:rFonts w:hint="eastAsia" w:ascii="仿宋" w:hAnsi="仿宋" w:eastAsia="仿宋" w:cs="仿宋"/>
          <w:i w:val="0"/>
          <w:caps w:val="0"/>
          <w:color w:val="auto"/>
          <w:spacing w:val="-6"/>
          <w:sz w:val="32"/>
          <w:szCs w:val="32"/>
          <w:shd w:val="clear" w:color="auto" w:fill="FFFFFF"/>
          <w:lang w:eastAsia="zh-CN"/>
        </w:rPr>
        <w:t>等</w:t>
      </w:r>
      <w:r>
        <w:rPr>
          <w:rFonts w:hint="eastAsia" w:ascii="仿宋" w:hAnsi="仿宋" w:eastAsia="仿宋" w:cs="仿宋"/>
          <w:i w:val="0"/>
          <w:caps w:val="0"/>
          <w:color w:val="auto"/>
          <w:spacing w:val="-6"/>
          <w:sz w:val="32"/>
          <w:szCs w:val="32"/>
          <w:shd w:val="clear" w:color="auto" w:fill="FFFFFF"/>
        </w:rPr>
        <w:t>资质材料</w:t>
      </w:r>
      <w:r>
        <w:rPr>
          <w:rFonts w:hint="eastAsia" w:ascii="仿宋" w:hAnsi="仿宋" w:eastAsia="仿宋" w:cs="仿宋"/>
          <w:i w:val="0"/>
          <w:caps w:val="0"/>
          <w:color w:val="auto"/>
          <w:spacing w:val="-6"/>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lang w:val="en-US" w:eastAsia="zh-CN"/>
        </w:rPr>
        <w:t>4.</w:t>
      </w:r>
      <w:r>
        <w:rPr>
          <w:rFonts w:hint="eastAsia" w:ascii="仿宋" w:hAnsi="仿宋" w:eastAsia="仿宋" w:cs="仿宋"/>
          <w:i w:val="0"/>
          <w:caps w:val="0"/>
          <w:color w:val="auto"/>
          <w:spacing w:val="0"/>
          <w:sz w:val="32"/>
          <w:szCs w:val="32"/>
          <w:shd w:val="clear" w:color="auto" w:fill="FFFFFF"/>
        </w:rPr>
        <w:t>经营场所、规模</w:t>
      </w:r>
      <w:r>
        <w:rPr>
          <w:rFonts w:hint="eastAsia" w:ascii="仿宋" w:hAnsi="仿宋" w:eastAsia="仿宋" w:cs="仿宋"/>
          <w:i w:val="0"/>
          <w:caps w:val="0"/>
          <w:color w:val="auto"/>
          <w:spacing w:val="0"/>
          <w:sz w:val="32"/>
          <w:szCs w:val="32"/>
          <w:shd w:val="clear" w:color="auto" w:fill="FFFFFF"/>
          <w:lang w:eastAsia="zh-CN"/>
        </w:rPr>
        <w:t>的相关证明材料、</w:t>
      </w:r>
      <w:r>
        <w:rPr>
          <w:rFonts w:hint="eastAsia" w:ascii="仿宋" w:hAnsi="仿宋" w:eastAsia="仿宋" w:cs="仿宋"/>
          <w:i w:val="0"/>
          <w:caps w:val="0"/>
          <w:color w:val="auto"/>
          <w:spacing w:val="0"/>
          <w:sz w:val="32"/>
          <w:szCs w:val="32"/>
          <w:shd w:val="clear" w:color="auto" w:fill="FFFFFF"/>
        </w:rPr>
        <w:t>药</w:t>
      </w:r>
      <w:r>
        <w:rPr>
          <w:rFonts w:hint="eastAsia" w:ascii="仿宋" w:hAnsi="仿宋" w:eastAsia="仿宋" w:cs="仿宋"/>
          <w:i w:val="0"/>
          <w:caps w:val="0"/>
          <w:color w:val="auto"/>
          <w:spacing w:val="0"/>
          <w:sz w:val="32"/>
          <w:szCs w:val="32"/>
          <w:shd w:val="clear" w:color="auto" w:fill="FFFFFF"/>
          <w:lang w:eastAsia="zh-CN"/>
        </w:rPr>
        <w:t>品配备</w:t>
      </w:r>
      <w:r>
        <w:rPr>
          <w:rFonts w:hint="eastAsia" w:ascii="仿宋" w:hAnsi="仿宋" w:eastAsia="仿宋" w:cs="仿宋"/>
          <w:i w:val="0"/>
          <w:caps w:val="0"/>
          <w:color w:val="auto"/>
          <w:spacing w:val="0"/>
          <w:sz w:val="32"/>
          <w:szCs w:val="32"/>
          <w:shd w:val="clear" w:color="auto" w:fill="FFFFFF"/>
        </w:rPr>
        <w:t>情况</w:t>
      </w:r>
      <w:r>
        <w:rPr>
          <w:rFonts w:hint="eastAsia" w:ascii="仿宋" w:hAnsi="仿宋" w:eastAsia="仿宋" w:cs="仿宋"/>
          <w:i w:val="0"/>
          <w:caps w:val="0"/>
          <w:color w:val="auto"/>
          <w:spacing w:val="0"/>
          <w:sz w:val="32"/>
          <w:szCs w:val="32"/>
          <w:shd w:val="clear" w:color="auto" w:fill="FFFFFF"/>
          <w:lang w:eastAsia="zh-CN"/>
        </w:rPr>
        <w:t>和价格执行情况</w:t>
      </w:r>
      <w:r>
        <w:rPr>
          <w:rFonts w:hint="eastAsia" w:ascii="仿宋" w:hAnsi="仿宋" w:eastAsia="仿宋" w:cs="仿宋"/>
          <w:i w:val="0"/>
          <w:caps w:val="0"/>
          <w:color w:val="auto"/>
          <w:spacing w:val="0"/>
          <w:sz w:val="32"/>
          <w:szCs w:val="32"/>
          <w:shd w:val="clear" w:color="auto" w:fill="FFFFFF"/>
        </w:rPr>
        <w:t>材料</w:t>
      </w:r>
      <w:r>
        <w:rPr>
          <w:rFonts w:hint="eastAsia" w:ascii="仿宋" w:hAnsi="仿宋" w:eastAsia="仿宋" w:cs="仿宋"/>
          <w:i w:val="0"/>
          <w:caps w:val="0"/>
          <w:color w:val="auto"/>
          <w:spacing w:val="0"/>
          <w:sz w:val="32"/>
          <w:szCs w:val="32"/>
          <w:shd w:val="clear" w:color="auto" w:fill="FFFFFF"/>
          <w:lang w:eastAsia="zh-CN"/>
        </w:rPr>
        <w:t>（包括申报前一年药品进销存台账、存量药品销售价格和公共资源交易中心挂网价格等）。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5.</w:t>
      </w:r>
      <w:r>
        <w:rPr>
          <w:rFonts w:hint="eastAsia" w:ascii="仿宋" w:hAnsi="仿宋" w:eastAsia="仿宋" w:cs="仿宋"/>
          <w:i w:val="0"/>
          <w:caps w:val="0"/>
          <w:color w:val="auto"/>
          <w:spacing w:val="0"/>
          <w:sz w:val="32"/>
          <w:szCs w:val="32"/>
          <w:shd w:val="clear" w:color="auto" w:fill="FFFFFF"/>
        </w:rPr>
        <w:t>服务协议、内部管理制度、运营方案等。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6.信息系统基本情况、网络结构相关材料。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lang w:val="en-US" w:eastAsia="zh-CN"/>
        </w:rPr>
        <w:t>7.</w:t>
      </w:r>
      <w:r>
        <w:rPr>
          <w:rFonts w:hint="eastAsia" w:ascii="仿宋" w:hAnsi="仿宋" w:eastAsia="仿宋" w:cs="仿宋"/>
          <w:i w:val="0"/>
          <w:caps w:val="0"/>
          <w:color w:val="auto"/>
          <w:spacing w:val="0"/>
          <w:sz w:val="32"/>
          <w:szCs w:val="32"/>
          <w:shd w:val="clear" w:color="auto" w:fill="FFFFFF"/>
        </w:rPr>
        <w:t>承诺书</w:t>
      </w:r>
      <w:r>
        <w:rPr>
          <w:rFonts w:hint="eastAsia" w:ascii="仿宋" w:hAnsi="仿宋" w:eastAsia="仿宋" w:cs="仿宋"/>
          <w:i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caps w:val="0"/>
          <w:color w:val="auto"/>
          <w:spacing w:val="0"/>
          <w:sz w:val="32"/>
          <w:szCs w:val="32"/>
          <w:shd w:val="clear" w:color="auto" w:fill="FFFFFF"/>
          <w:lang w:eastAsia="zh-CN"/>
        </w:rPr>
      </w:pPr>
      <w:r>
        <w:rPr>
          <w:rFonts w:hint="eastAsia" w:ascii="黑体" w:hAnsi="黑体" w:eastAsia="黑体" w:cs="黑体"/>
          <w:i w:val="0"/>
          <w:caps w:val="0"/>
          <w:color w:val="auto"/>
          <w:spacing w:val="0"/>
          <w:sz w:val="32"/>
          <w:szCs w:val="32"/>
          <w:shd w:val="clear" w:color="auto" w:fill="FFFFFF"/>
          <w:lang w:eastAsia="zh-CN"/>
        </w:rPr>
        <w:t>二、核查评估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零售药店提交申报材料后，由受理机构组织医疗保障、医药卫生、财务管理、信息技术等专业人员对申请零售药店开展核查评估，并填写《特门服务评估表》。评估的主要内容包括：</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eastAsia="zh-CN"/>
        </w:rPr>
        <w:t>核查</w:t>
      </w:r>
      <w:r>
        <w:rPr>
          <w:rFonts w:hint="eastAsia" w:ascii="仿宋" w:hAnsi="仿宋" w:eastAsia="仿宋" w:cs="仿宋"/>
          <w:i w:val="0"/>
          <w:caps w:val="0"/>
          <w:color w:val="auto"/>
          <w:spacing w:val="0"/>
          <w:sz w:val="32"/>
          <w:szCs w:val="32"/>
          <w:shd w:val="clear" w:color="auto" w:fill="FFFFFF"/>
        </w:rPr>
        <w:t>经营场所面积和租赁时间和申报材料</w:t>
      </w:r>
      <w:r>
        <w:rPr>
          <w:rFonts w:hint="eastAsia" w:ascii="仿宋" w:hAnsi="仿宋" w:eastAsia="仿宋" w:cs="仿宋"/>
          <w:i w:val="0"/>
          <w:caps w:val="0"/>
          <w:color w:val="auto"/>
          <w:spacing w:val="0"/>
          <w:sz w:val="32"/>
          <w:szCs w:val="32"/>
          <w:shd w:val="clear" w:color="auto" w:fill="FFFFFF"/>
          <w:lang w:eastAsia="zh-CN"/>
        </w:rPr>
        <w:t>是否一致。</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eastAsia="zh-CN"/>
        </w:rPr>
        <w:t>核查零售药店相关证件和专业技术人员的资质材料，以及执业药师的注册和到岗情况。</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eastAsia="zh-CN"/>
        </w:rPr>
        <w:t>核查</w:t>
      </w:r>
      <w:r>
        <w:rPr>
          <w:rFonts w:hint="eastAsia" w:ascii="仿宋" w:hAnsi="仿宋" w:eastAsia="仿宋" w:cs="仿宋"/>
          <w:i w:val="0"/>
          <w:caps w:val="0"/>
          <w:color w:val="auto"/>
          <w:spacing w:val="0"/>
          <w:sz w:val="32"/>
          <w:szCs w:val="32"/>
          <w:shd w:val="clear" w:color="auto" w:fill="FFFFFF"/>
        </w:rPr>
        <w:t>特门服务场所</w:t>
      </w:r>
      <w:r>
        <w:rPr>
          <w:rFonts w:hint="eastAsia" w:ascii="仿宋" w:hAnsi="仿宋" w:eastAsia="仿宋" w:cs="仿宋"/>
          <w:i w:val="0"/>
          <w:caps w:val="0"/>
          <w:color w:val="auto"/>
          <w:spacing w:val="0"/>
          <w:sz w:val="32"/>
          <w:szCs w:val="32"/>
          <w:shd w:val="clear" w:color="auto" w:fill="FFFFFF"/>
          <w:lang w:eastAsia="zh-CN"/>
        </w:rPr>
        <w:t>是否按照要求设置了合理区域。</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eastAsia="zh-CN"/>
        </w:rPr>
        <w:t>核查零售药店</w:t>
      </w:r>
      <w:r>
        <w:rPr>
          <w:rFonts w:hint="eastAsia" w:ascii="仿宋" w:hAnsi="仿宋" w:eastAsia="仿宋" w:cs="仿宋"/>
          <w:i w:val="0"/>
          <w:caps w:val="0"/>
          <w:color w:val="auto"/>
          <w:spacing w:val="0"/>
          <w:sz w:val="32"/>
          <w:szCs w:val="32"/>
          <w:shd w:val="clear" w:color="auto" w:fill="FFFFFF"/>
        </w:rPr>
        <w:t>是否设立了特门病人档案存放区域</w:t>
      </w:r>
      <w:r>
        <w:rPr>
          <w:rFonts w:hint="eastAsia" w:ascii="仿宋" w:hAnsi="仿宋" w:eastAsia="仿宋" w:cs="仿宋"/>
          <w:i w:val="0"/>
          <w:caps w:val="0"/>
          <w:color w:val="auto"/>
          <w:spacing w:val="0"/>
          <w:sz w:val="32"/>
          <w:szCs w:val="32"/>
          <w:shd w:val="clear" w:color="auto" w:fill="FFFFFF"/>
          <w:lang w:eastAsia="zh-CN"/>
        </w:rPr>
        <w:t>和设备。</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eastAsia="zh-CN"/>
        </w:rPr>
        <w:t>核查</w:t>
      </w:r>
      <w:r>
        <w:rPr>
          <w:rFonts w:hint="eastAsia" w:ascii="仿宋" w:hAnsi="仿宋" w:eastAsia="仿宋" w:cs="仿宋"/>
          <w:i w:val="0"/>
          <w:caps w:val="0"/>
          <w:color w:val="auto"/>
          <w:spacing w:val="0"/>
          <w:sz w:val="32"/>
          <w:szCs w:val="32"/>
          <w:shd w:val="clear" w:color="auto" w:fill="FFFFFF"/>
        </w:rPr>
        <w:t>信息</w:t>
      </w:r>
      <w:r>
        <w:rPr>
          <w:rFonts w:hint="eastAsia" w:ascii="仿宋" w:hAnsi="仿宋" w:eastAsia="仿宋" w:cs="仿宋"/>
          <w:i w:val="0"/>
          <w:caps w:val="0"/>
          <w:color w:val="auto"/>
          <w:spacing w:val="0"/>
          <w:sz w:val="32"/>
          <w:szCs w:val="32"/>
          <w:shd w:val="clear" w:color="auto" w:fill="FFFFFF"/>
          <w:lang w:eastAsia="zh-CN"/>
        </w:rPr>
        <w:t>系统硬件设施，是否有专门的</w:t>
      </w:r>
      <w:r>
        <w:rPr>
          <w:rFonts w:hint="eastAsia" w:ascii="仿宋" w:hAnsi="仿宋" w:eastAsia="仿宋" w:cs="仿宋"/>
          <w:i w:val="0"/>
          <w:caps w:val="0"/>
          <w:color w:val="auto"/>
          <w:spacing w:val="0"/>
          <w:sz w:val="32"/>
          <w:szCs w:val="32"/>
          <w:shd w:val="clear" w:color="auto" w:fill="FFFFFF"/>
        </w:rPr>
        <w:t>服务器，并配备了身份证读卡器、人脸数据采集设备和监管码扫描设备。</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eastAsia="zh-CN"/>
        </w:rPr>
        <w:t>核查特门区域是否设置了相应的服务岗位并配备了专门人员，并评估</w:t>
      </w:r>
      <w:r>
        <w:rPr>
          <w:rFonts w:hint="eastAsia" w:ascii="仿宋" w:hAnsi="仿宋" w:eastAsia="仿宋" w:cs="仿宋"/>
          <w:i w:val="0"/>
          <w:caps w:val="0"/>
          <w:color w:val="auto"/>
          <w:spacing w:val="0"/>
          <w:sz w:val="32"/>
          <w:szCs w:val="32"/>
          <w:shd w:val="clear" w:color="auto" w:fill="FFFFFF"/>
        </w:rPr>
        <w:t>特门服务流程是否</w:t>
      </w:r>
      <w:r>
        <w:rPr>
          <w:rFonts w:hint="eastAsia" w:ascii="仿宋" w:hAnsi="仿宋" w:eastAsia="仿宋" w:cs="仿宋"/>
          <w:i w:val="0"/>
          <w:caps w:val="0"/>
          <w:color w:val="auto"/>
          <w:spacing w:val="0"/>
          <w:sz w:val="32"/>
          <w:szCs w:val="32"/>
          <w:shd w:val="clear" w:color="auto" w:fill="FFFFFF"/>
          <w:lang w:eastAsia="zh-CN"/>
        </w:rPr>
        <w:t>规范</w:t>
      </w:r>
      <w:r>
        <w:rPr>
          <w:rFonts w:hint="eastAsia" w:ascii="仿宋" w:hAnsi="仿宋" w:eastAsia="仿宋" w:cs="仿宋"/>
          <w:i w:val="0"/>
          <w:caps w:val="0"/>
          <w:color w:val="auto"/>
          <w:spacing w:val="0"/>
          <w:sz w:val="32"/>
          <w:szCs w:val="32"/>
          <w:shd w:val="clear" w:color="auto" w:fill="FFFFFF"/>
        </w:rPr>
        <w:t>合理。</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rPr>
        <w:t>随机抽查药物，并查看库存，</w:t>
      </w:r>
      <w:r>
        <w:rPr>
          <w:rFonts w:hint="eastAsia" w:ascii="仿宋" w:hAnsi="仿宋" w:eastAsia="仿宋" w:cs="仿宋"/>
          <w:i w:val="0"/>
          <w:caps w:val="0"/>
          <w:color w:val="auto"/>
          <w:spacing w:val="0"/>
          <w:sz w:val="32"/>
          <w:szCs w:val="32"/>
          <w:shd w:val="clear" w:color="auto" w:fill="FFFFFF"/>
          <w:lang w:eastAsia="zh-CN"/>
        </w:rPr>
        <w:t>评估</w:t>
      </w:r>
      <w:r>
        <w:rPr>
          <w:rFonts w:hint="eastAsia" w:ascii="仿宋" w:hAnsi="仿宋" w:eastAsia="仿宋" w:cs="仿宋"/>
          <w:i w:val="0"/>
          <w:caps w:val="0"/>
          <w:color w:val="auto"/>
          <w:spacing w:val="0"/>
          <w:sz w:val="32"/>
          <w:szCs w:val="32"/>
          <w:shd w:val="clear" w:color="auto" w:fill="FFFFFF"/>
        </w:rPr>
        <w:t>是否达到备药要求。</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rPr>
        <w:t>核查申报药店近三年是否有基本医疗保险的重大违规违约行为，是否收到过药品监督、卫生健康等部门的行政处罚。</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17" w:firstLineChars="68"/>
        <w:jc w:val="both"/>
        <w:textAlignment w:val="auto"/>
        <w:rPr>
          <w:rFonts w:hint="eastAsia" w:ascii="黑体" w:hAnsi="黑体" w:eastAsia="黑体" w:cs="黑体"/>
          <w:i w:val="0"/>
          <w:caps w:val="0"/>
          <w:color w:val="auto"/>
          <w:spacing w:val="0"/>
          <w:sz w:val="32"/>
          <w:szCs w:val="32"/>
          <w:shd w:val="clear" w:color="auto" w:fill="FFFFFF"/>
          <w:lang w:eastAsia="zh-CN"/>
        </w:rPr>
      </w:pPr>
      <w:r>
        <w:rPr>
          <w:rFonts w:hint="eastAsia" w:ascii="黑体" w:hAnsi="黑体" w:eastAsia="黑体" w:cs="黑体"/>
          <w:i w:val="0"/>
          <w:caps w:val="0"/>
          <w:color w:val="auto"/>
          <w:spacing w:val="0"/>
          <w:sz w:val="32"/>
          <w:szCs w:val="32"/>
          <w:shd w:val="clear" w:color="auto" w:fill="FFFFFF"/>
          <w:lang w:eastAsia="zh-CN"/>
        </w:rPr>
        <w:t>三、协议签订和验收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对核查评估通过的协议零售药店，经批准通过后，组织召开拟新增特门药店会议，提出管理要求，签订服务协议。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对签定特门服务协议的零售药店安装信息系统，做好调试工作，理顺业务办理流程，报受理机构验收通过后开通特门联网结算业务。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四、其他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auto"/>
          <w:spacing w:val="0"/>
          <w:sz w:val="32"/>
          <w:szCs w:val="32"/>
          <w:shd w:val="clear" w:color="auto" w:fill="FFFFFF"/>
          <w:lang w:val="en-US" w:eastAsia="zh-CN"/>
        </w:rPr>
        <w:t>开通特门服务的协议零售药店的费用结算、管理考核按照</w:t>
      </w:r>
      <w:r>
        <w:rPr>
          <w:rFonts w:hint="eastAsia" w:ascii="仿宋_GB2312" w:hAnsi="仿宋_GB2312" w:eastAsia="仿宋_GB2312" w:cs="仿宋_GB2312"/>
          <w:sz w:val="32"/>
          <w:szCs w:val="32"/>
          <w:lang w:val="en-US" w:eastAsia="zh-CN"/>
        </w:rPr>
        <w:t>湘医保发〔2019〕31号</w:t>
      </w:r>
      <w:r>
        <w:rPr>
          <w:rFonts w:hint="eastAsia" w:ascii="仿宋" w:hAnsi="仿宋" w:eastAsia="仿宋" w:cs="仿宋"/>
          <w:sz w:val="32"/>
          <w:szCs w:val="32"/>
          <w:lang w:val="en-US" w:eastAsia="zh-CN"/>
        </w:rPr>
        <w:t>文件规定执行。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本办法自印发之日起施行，有效期至2025年12月31日。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sz w:val="32"/>
          <w:szCs w:val="32"/>
          <w:lang w:val="en-US" w:eastAsia="zh-CN"/>
        </w:rPr>
        <w:t>附：</w:t>
      </w:r>
      <w:r>
        <w:rPr>
          <w:rFonts w:hint="eastAsia" w:ascii="仿宋" w:hAnsi="仿宋" w:eastAsia="仿宋" w:cs="仿宋"/>
          <w:i w:val="0"/>
          <w:caps w:val="0"/>
          <w:color w:val="auto"/>
          <w:spacing w:val="0"/>
          <w:sz w:val="32"/>
          <w:szCs w:val="32"/>
          <w:shd w:val="clear" w:color="auto" w:fill="FFFFFF"/>
          <w:lang w:val="en-US" w:eastAsia="zh-CN"/>
        </w:rPr>
        <w:t>省本级协议零售药店“特门服务”申报受理评估流程图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省本级协议零售药店“特门服务”</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申报受理评估流程图</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58240" behindDoc="0" locked="0" layoutInCell="1" allowOverlap="1">
            <wp:simplePos x="0" y="0"/>
            <wp:positionH relativeFrom="column">
              <wp:posOffset>476250</wp:posOffset>
            </wp:positionH>
            <wp:positionV relativeFrom="paragraph">
              <wp:posOffset>72390</wp:posOffset>
            </wp:positionV>
            <wp:extent cx="4587875" cy="7675245"/>
            <wp:effectExtent l="0" t="0" r="3175" b="1905"/>
            <wp:wrapSquare wrapText="bothSides"/>
            <wp:docPr id="1" name="ECB019B1-382A-4266-B25C-5B523AA43C14-2"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2" descr="qt_temp"/>
                    <pic:cNvPicPr>
                      <a:picLocks noChangeAspect="1"/>
                    </pic:cNvPicPr>
                  </pic:nvPicPr>
                  <pic:blipFill>
                    <a:blip r:embed="rId5"/>
                    <a:stretch>
                      <a:fillRect/>
                    </a:stretch>
                  </pic:blipFill>
                  <pic:spPr>
                    <a:xfrm>
                      <a:off x="0" y="0"/>
                      <a:ext cx="4587875" cy="767524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 </w:t>
      </w:r>
    </w:p>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sectPr>
          <w:pgSz w:w="11906" w:h="16838"/>
          <w:pgMar w:top="1797" w:right="1440" w:bottom="1797" w:left="1440" w:header="851" w:footer="992" w:gutter="0"/>
          <w:cols w:space="720" w:num="1"/>
          <w:docGrid w:type="lines" w:linePitch="312" w:charSpace="0"/>
        </w:sectPr>
      </w:pPr>
    </w:p>
    <w:p/>
    <w:sectPr>
      <w:footerReference r:id="rId3" w:type="default"/>
      <w:pgSz w:w="11906" w:h="16838"/>
      <w:pgMar w:top="1797" w:right="1440" w:bottom="1797" w:left="144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0908F"/>
    <w:multiLevelType w:val="singleLevel"/>
    <w:tmpl w:val="C12090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C7A65"/>
    <w:rsid w:val="490C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2020-02-10T09:03:00Z</dcterms:created>
  <dc:creator>Administrator</dc:creator>
  <cp:lastModifiedBy>Administrator</cp:lastModifiedBy>
  <dcterms:modified xsi:type="dcterms:W3CDTF">2020-02-10T09:05:20Z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