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附件1</w:t>
      </w:r>
    </w:p>
    <w:p>
      <w:pPr>
        <w:spacing w:afterLines="50"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湖南省核定新增医疗服务价格项目表</w:t>
      </w:r>
    </w:p>
    <w:bookmarkEnd w:id="0"/>
    <w:tbl>
      <w:tblPr>
        <w:tblStyle w:val="4"/>
        <w:tblW w:w="13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87"/>
        <w:gridCol w:w="2050"/>
        <w:gridCol w:w="4130"/>
        <w:gridCol w:w="1820"/>
        <w:gridCol w:w="616"/>
        <w:gridCol w:w="672"/>
        <w:gridCol w:w="21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项目内涵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除外内容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计价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一类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价格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120300001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氧气吸入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氧气创面治疗参照执行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一次性鼻导管、鼻塞、面罩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加压给氧加收1元；智能监控吸氧加收0.5元/小时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120400006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静脉输液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输血、留置静脉针分别参照执行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避光输液器、微电脑输液器、留置静脉针头、留置针固定专用聚氨酯透明敷贴、一次性肝素帽、输液接头（三通、多通）。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连续输液第二组起每组只收2元。使用微电脑输液泵每小时加收2元，智能输液仪每小时加收1元。自动输液监控加收1元/组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121600001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导尿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一次性导尿和留置导尿分别参照执行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特殊一次性消耗物品（包括导尿包、尿管及尿袋）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一次性导尿按次计价；留置导尿第一次按规定标准计收，以后每日收2元；更换引流袋每次3元（含引流袋）；智能尿流监测加收10元/天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240700010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经皮微创激光消融治疗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超声引导下，以激光精准热消融组织内实体肿瘤，应用领域包括肝脏、甲状腺、肾脏、前列腺及肺脏等多脏器。不含超声引导费用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光纤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1784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250102039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尿碘全定量测定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对尿液中碘元素快速全定量的检测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250104042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阴道微生态检测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阴道分泌物样本进行功能学检测（检测指标：过氧化氢、白细胞酯酶、唾液酸苷酶、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葡萄糖醛酸酶和乙酰氨基葡萄糖苷酶、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pH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值）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250203082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血栓调节蛋白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(TM)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定量检测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样本类型：血液。样本采集，分离血浆，加入试剂，测定，审核结果，录入实验室信息系统或人工登记，发送报告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250203083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纤溶酶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-α2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纤溶酶抑制物复合物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(PAP)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定量检测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样本类型：血液。样本采集，分离血浆，加入试剂，测定，审核结果，录入实验室信息系统或人工登记，发送报告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250301007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血清转铁蛋白测定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cs="Times New Roman"/>
                <w:color w:val="auto"/>
              </w:rPr>
              <w:t>指免疫比浊法。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粪便、胃液等参照执行。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cs="Times New Roman"/>
              </w:rPr>
              <w:t>化学发光法加收</w:t>
            </w:r>
            <w:r>
              <w:rPr>
                <w:rFonts w:ascii="Times New Roman" w:hAnsi="Times New Roman" w:cs="Times New Roman"/>
              </w:rPr>
              <w:t>200%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250301022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淀粉蛋白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1-42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Aβ1-42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对阿尔茨海默症相关神经元蛋白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Aβ1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）进行检测。样本类型：血液。样本采集、签收、处理，定标，检测样本，审核结果，录入实验室信息系统或人工登记，发送报告；按规定处理废弃物；接受临床相关咨询。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250301023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人磷酸化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tau-181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蛋白测定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对阿尔茨海默症相关神经元蛋白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tau-181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进行检测。样本类型：血液。样本采集、签收、处理，定标，检测样本，审核结果，录入实验室信息系统或人工登记，发送报告；按规定处理废弃物；接受临床相关咨询。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250302012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糖化白蛋白（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样本类型：血液。样本采集，分离血浆，加入试剂，测定，审核结果，录入实验室信息系统或人工登记，发送报告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250401039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涎液化糖链抗原（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KL-6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250402069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神经元抗原谱抗体检测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检测神经元抗原谱抗体，各项神经元抗体（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Amphiphysin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CV2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PNMA2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Ma2/Ta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Ri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Yo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与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Hu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等）分别参照执行。包括样本采集、签收、处理，加免疫试剂，温育，检测，质控，审核结果，录入实验室信息系统或人工登记，发送报告；按规定处理废弃物；接受临床相关咨询。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250402071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自身免疫性脑炎抗谷氨酸受体抗体检测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血清或脑脊液中的自身免疫性脑炎抗体等相关抗体。样本类型：血清或脑脊液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250402072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血清抗磷脂酶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受体抗体检测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检测血清中的抗体。样本类型：血清。包括样本采集、签收、处理，加免疫试剂，温育，检测，质控，审核结果，录入实验室信息系统或人工登记，发送报告；按规定处理废弃物；接受临床相关咨询。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250403105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弓形体抗体亲合力检测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指各种免疫学方法，对弓形虫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IgG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抗体亲和合力（结合能力）进行测定。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250403106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巨细胞病毒抗体亲合力检测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</w:rPr>
              <w:t>指各种免疫学方法，对巨细胞病毒抗体亲和合力（结合能力）进行测定。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250403092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细小病毒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B19 IgG /IgM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抗体检测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250403093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壳酶蛋白肝纤维化检测（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Fibro-CHI)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适用于肝纤维化和肝硬化的诊断和分期。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多肿瘤标志物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项联合检测（男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女）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男性检测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CA19-9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CA125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CA72-4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AFP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NSE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CEA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Cyfra21-1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T-PSA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F-PSA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PGI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PGII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Pro-GRP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。女性患者检测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CA19-9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CA125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CA72-4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AFP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NSE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CEA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Cyfra21-1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PGI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PGII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CA15-3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β-HCG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Pro-GRP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540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250404107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肝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项肿瘤标志物联合检测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包括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CA19-9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CA125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CA72-4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AFP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CEA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Cyfra21-1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250501048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XPert MTB/RIF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结核分枝杆菌及利福平耐药检测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采用半巢式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技术，检测待测标本是否含有结核分枝杆菌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，并且能够检测结核分枝杆菌是否对利福平耐药。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661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250501049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结核耐药分子检测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采用熔解曲线法，检测结核分枝杆菌是否对利福平耐药。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异烟肼、链霉素、乙胺丁醇和氟喹诺酮四种药的药敏参照利福平耐药检测执行。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每种药物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250501050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结核分枝杆菌抗原检测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采用免疫胶体金法，判断待测标本是否有结核分支杆菌特异抗原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MPB64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，从而对结核分枝杆菌进行鉴定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250700027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淋巴细胞微核率测定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外周血淋巴细胞经过培养、收获、制片、染色、仪器扫描和人工分析等步骤，确定微核率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250700028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染色体微阵列分析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将提取的人基因组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样本与阴、阳性对照同时进行酶切、连接、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扩增，并将扩增后的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产物进行磁珠纯化，然后将其片段化、标记并杂交至芯片上。通过仪器扫描芯片荧光信号并用软件分析结果，查询数据库对结果进行解读，判断并审核结果，录入实验室信息系统或人工登记，发送报告；按规定处理废弃物；接受临床相关咨询。各种标本的采集和处理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自主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250700029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MTHFR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基因多态性分析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包括叶酸基因多态性检测。样本类型：各种标本。各种标本的采集、签收、处理，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提取，经核酸浓度测定、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体系构建、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扩增、凝胶电泳分析、酶切、凝胶电泳分析等步骤，检测患者的叶酸基因多态位点的类型，审核结果，录入实验室信息系统或人工登记，发送报告；按照规定处理废物；接受临床相关咨询。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自主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250700030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染色体微缺失检测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包括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染色体微缺失检测。样本类型：各种标本。各种标本的采集、签收、处理，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提取，经核酸浓度测定、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体系构建、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PCR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扩增、凝胶电泳分析等步骤，检测患者的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染色体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STS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位点及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SRY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基因缺失情况，审核结果，录入实验室信息系统或人工登记，发送报告；按照规定处理废物；接受临床相关咨询。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自主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250700031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孕妇外周血胎儿游离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产前筛查与诊断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孕妇外周血胎儿游离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产前筛查与诊断技术提取孕妇外周血游离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后，构建测序文库并使用高通量测序仪上机测序，通过分析样本中胎儿游离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号、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号及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号染色体数量的差异，对胎儿染色体非整倍体疾病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T21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T18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T13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进行产前辅助筛查，判断并审核结果，录入实验室信息系统或人工登记，发送报告；按规定处理废弃物；接受临床相关咨询。标本的采集和处理，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提取除外。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自主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定价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260000026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RHD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基因分型检测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RhD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血型抗原编码基因的各等位基因（包括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RhD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阴性、部分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、弱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DEL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型）。样本采集、签收、处理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据标本类型不同进行相应的前处理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，提取基因组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，与质控品和内参同时扩增，分析扩增产物或杂交或测序等，进行基因分析，判断并审核结果，录入实验室信息系统或人工登记，发送报告；按规定处理废弃物；接受临床相关咨询。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人次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270300011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全自动单独滴染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HE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全自动浸染封片参照执行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270700004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人乳头状瘤病毒致癌因子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E6/E7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信使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取脱落细胞，于全自动核酸检测仪种进行靶标捕获，通过转录介导的等温扩增技术（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TMA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），对目标片段进行扩增，杂交保护反应检测信号，检测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HPV E6 E7mRNA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310100037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脑血管病临床量表测评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利用廉价、快速、可重复评估的诊断辅助量化工具为临床决策提供参考依据。包括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类量表：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Barthel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指数评定量表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ESSEN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GCS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HAS-BLED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ALD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评定量表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、房颤患者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CHA2DS2-VASc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、改良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Rankin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Hachinsk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缺血指数量表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等；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类量表：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NIHSS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评分（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类）、蛛网膜下腔出血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Hess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临床分级法（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类）等。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类：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310403017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术中喉返神经监测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使用短效肌松药品麻醉，清理口腔分泌物，咽喉表面麻经口置入喉镜，暴露声门后神经监护气管插管，将插管上对应的电极线连接到监测器上，做电极检测，确定采集电极连接完好，外科医生手术时用神经探头探查，寻找和识别喉返神经，解离喉返神经过程中持续监测神经功能完整性，切除病变后再探测神经功能是否完好，关闭切口或行其他处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.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310701033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经外周动脉连续心排出量监测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消毒，动脉和中心静脉穿刺，连接监测仪，记录各项血流动力学指标、心脏每搏量变异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(SVV)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、肺水等监测数据。不含中心动脉导管置入。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310701034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脑氧饱和度监测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通过放置于颅骨上的发光电极，感应脑氧饱和度的变化，监测仪自动记录分析数据变化。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310702024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急性缺血性血栓超早期静脉溶栓术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溶栓治疗时间（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door-to-needle time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DNT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）控制在发病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60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分钟以内。对患者进行快速识别并评估，监测基本生命体征，必要时进行心肺支持（气道、呼吸、循环）等。建立急诊静脉溶栓绿色通道：多学科通力协作，成立专门溶栓小组，排除溶栓禁忌症后评估风险和获益，静脉溶栓治疗。溶栓过程中医生及护士全程监护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310800028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富血小板血浆（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PRP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）治疗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项目内涵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通过两次离心，从全血中提取出血小板浓缩液，含高浓度血小板，白细胞和纤维蛋白。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PRP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0"/>
                <w:szCs w:val="20"/>
              </w:rPr>
              <w:t>开启了人体自身修复的奥秘，将自身修复能力调动出来，加速了人体自然愈合的过程。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富血小板血浆制备装置、血浆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310902005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纤维胃十二指肠镜检查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含活检、刷检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电子镜加收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元、内镜色素检查加收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310905006-1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经口直视电子胆管镜检查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咽喉麻醉，镇静，润滑，消泡，电子十二指肠镜经口插至十二指肠乳头部位，胰胆管造影，将胆管镜自母镜活检通道插入，经乳头开口沿导管插入胆管内，通过胆管镜进行检查。图文报告。不含监护、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线检查、活检、病理学检查。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造影导管，导丝，血管夹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1280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311201070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MP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妊高征及并发症罹患风险监测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采用无创血流动力学脉搏波监测技术，进行妊高症的前期预测和治疗监测。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手术治疗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术中使用微动力系统加收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1170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；泌尿电子软镜加收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275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；椎间孔镜每台手术加收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330404015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角膜胶原交联术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原理是提高角膜硬度和增加生物力学稳定性。术前进行角膜评估。根据病情选择去上皮法和跨上皮法。去上皮病人可采用机械法、化学法或结合激光机去除；跨上皮法无需处理角膜上皮。根据角膜厚度调整角膜交联仪总能量予以交联反应。术必配戴绷带型角膜接触镜至角膜上皮完全愈合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单眼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6300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330603009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经鼻内镜咽鼓管切除术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鼻内镜及手术器械经鼻孔进入鼻腔，打开鼻腔外侧壁，经上颌窦打开上颌窦后壁，游离保护翼腭窝内神经及血管，追踪上颌神经并定位圆孔，作为操作的外侧边界；再从鼻腔打开蝶窦，暴露蝶窦外下方的翼管，以翼管神经及岩浅大神经为内侧边界；离断翼外肌、磨除翼突，暴露咽鼓管软骨段，切除受累咽鼓管及临近病变，解剖并保护内侧边界以内的颈内动脉破裂孔段，最后以可吸收材料或自体软组织填补术腔，或以鼻腔带蒂粘膜瓣修复，或旷置术区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一次性鼻腔、鼻窦冲洗装置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1800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331306007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经宫腔镜子宫纵隔切除术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不含术中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超监视；经宫腔镜宫腔粘连电切术、经宫腔镜妊娠残留物电切术参照执行。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1859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腹腔镜辅助手术加收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331306009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经宫腔镜子宫内膜剥离术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不含术中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超监视；经宫腔镜子宫内膜息肉电切术、经宫腔镜子宫内膜电切术、经宫腔镜子宫赘生物电切术参照执行。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1859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腹腔镜辅助手术加收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331306012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经宫腔镜羊膜移植术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通过宫腔镜用机械方法或能源电极法分离宫腔各种粘连，恢复宫腔正常形态后，用宫腔水囊外敷异体羊膜或者生物羊膜置于宫腔，促进子宫内膜的再生。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医用生物羊膜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1756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340100032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岩盐气溶胶治疗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利用气溶盐胶的吸入有效减轻呼吸道粘膜水肿，减少气道的分泌物，促进粘液纤毛的廓清作用，快速改善患者症状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小时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410000005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中药封包治疗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cs="Times New Roman"/>
                <w:color w:val="auto"/>
              </w:rPr>
              <w:t>含药物调配，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磁疗包和远红外线复合治疗</w:t>
            </w:r>
            <w:r>
              <w:rPr>
                <w:rStyle w:val="5"/>
                <w:rFonts w:hint="default" w:ascii="Times New Roman" w:cs="Times New Roman"/>
                <w:color w:val="auto"/>
              </w:rPr>
              <w:t>。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中医封包综合治疗参照执行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药物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部位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检查探头消毒费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63" w:leftChars="30" w:right="63" w:rightChars="30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cs="Times New Roman"/>
                <w:color w:val="auto"/>
              </w:rPr>
              <w:t>在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“</w:t>
            </w:r>
            <w:r>
              <w:rPr>
                <w:rStyle w:val="5"/>
                <w:rFonts w:hint="default" w:ascii="Times New Roman" w:cs="Times New Roman"/>
                <w:color w:val="auto"/>
              </w:rPr>
              <w:t>一、综合医疗服务类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”</w:t>
            </w:r>
            <w:r>
              <w:rPr>
                <w:rStyle w:val="5"/>
                <w:rFonts w:hint="default" w:ascii="Times New Roman" w:cs="Times New Roman"/>
                <w:color w:val="auto"/>
              </w:rPr>
              <w:t>说明的第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6</w:t>
            </w:r>
            <w:r>
              <w:rPr>
                <w:rStyle w:val="5"/>
                <w:rFonts w:hint="default" w:ascii="Times New Roman" w:cs="Times New Roman"/>
                <w:color w:val="auto"/>
              </w:rPr>
              <w:t>点增加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使用专用的探头消毒设备消毒每次检查加收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次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”</w:t>
            </w:r>
            <w:r>
              <w:rPr>
                <w:rStyle w:val="5"/>
                <w:rFonts w:hint="default" w:ascii="Times New Roman" w:cs="Times New Roman"/>
                <w:color w:val="auto"/>
              </w:rPr>
              <w:t>。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6312"/>
    <w:rsid w:val="3F2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2020-04-17T08:45:00Z</dcterms:created>
  <dc:creator>Miko</dc:creator>
  <cp:lastModifiedBy>Miko</cp:lastModifiedBy>
  <dcterms:modified xsi:type="dcterms:W3CDTF">2020-04-17T08:47:47Z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