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92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autoSpaceDE w:val="0"/>
        <w:autoSpaceDN w:val="0"/>
        <w:adjustRightInd w:val="0"/>
        <w:snapToGrid w:val="0"/>
        <w:spacing w:line="592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湖南省2019年抗菌药物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专项集中采购剂型分组规则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92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一、药品剂型分组</w:t>
      </w:r>
    </w:p>
    <w:tbl>
      <w:tblPr>
        <w:tblStyle w:val="3"/>
        <w:tblW w:w="919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5433"/>
        <w:gridCol w:w="25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目录剂型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包含的剂型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口服常释剂型1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普通片（薄膜衣片、糖衣片）、浸膏片、划痕片、异形片、双层片、硬胶囊等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口服常释剂型2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肠溶片（薄膜衣）、软胶囊（胶丸）、肠溶胶囊（软胶囊）、肠溶丸等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口服缓释控释剂型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缓释片、缓释包衣片、缓释胶囊、缓释颗粒剂、肠溶缓释片、肠溶微丸胶囊、控释片、控释胶囊等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口腔内用片剂及其他片剂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口腔崩解片、含片、口腔粘附片、舌下片、喉片、口颊片、咀嚼片、口服泡腾片、分散片等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颗粒剂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颗粒剂、干混悬剂、干糖浆剂、冲剂、混悬颗粒剂、细粒剂、泡腾颗粒剂、肠溶颗粒剂等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含糖和不含糖（仅指蔗糖）的区分为不同分组，只依据药品注册批件、药品标准判断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注射用水针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注射液、注射用溶液剂、静脉滴注用注射液、注射用混悬液、静脉注射针剂、注射用乳剂等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1、仅附带注射溶媒不单独区分为不同分组。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2、脂质体注射剂区分为不同分组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注射用粉针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注射用无菌粉末、粉针剂、无菌粉针、冻干粉针、溶媒结晶等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92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二、其它</w:t>
      </w:r>
    </w:p>
    <w:p>
      <w:pPr>
        <w:autoSpaceDE w:val="0"/>
        <w:autoSpaceDN w:val="0"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不同的酸根和盐基注射剂不区分为不同分组；不同酸根的口服制剂不区分为不同分组。</w:t>
      </w:r>
    </w:p>
    <w:p>
      <w:pPr>
        <w:autoSpaceDE w:val="0"/>
        <w:autoSpaceDN w:val="0"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color w:val="000000"/>
          <w:sz w:val="32"/>
          <w:szCs w:val="32"/>
        </w:rPr>
        <w:t>含量相同的</w:t>
      </w:r>
      <w:r>
        <w:rPr>
          <w:rFonts w:ascii="Times New Roman" w:hAnsi="Times New Roman" w:eastAsia="仿宋_GB2312"/>
          <w:sz w:val="32"/>
          <w:szCs w:val="32"/>
        </w:rPr>
        <w:t>注射剂大于或等于50ml为大容量竞价组；小于50ml为小容量竞价组。</w:t>
      </w:r>
      <w:r>
        <w:rPr>
          <w:rFonts w:ascii="Times New Roman" w:hAnsi="Times New Roman" w:eastAsia="仿宋_GB2312"/>
          <w:sz w:val="32"/>
          <w:szCs w:val="32"/>
          <w:lang w:val="zh-CN"/>
        </w:rPr>
        <w:t>小容量注射剂按玻瓶和塑瓶为不同竞价组；大容量注射剂按玻瓶、塑瓶、软袋为不同竞价组。</w:t>
      </w:r>
    </w:p>
    <w:p>
      <w:pPr>
        <w:autoSpaceDE w:val="0"/>
        <w:autoSpaceDN w:val="0"/>
        <w:spacing w:line="592" w:lineRule="exact"/>
        <w:ind w:firstLine="596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3. 带附加装置（如加药器、冲洗器）的药品不区分为不同分组。</w:t>
      </w: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464EE"/>
    <w:rsid w:val="27F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2020-04-20T09:10:00Z</dcterms:created>
  <dc:creator>Miko</dc:creator>
  <cp:lastModifiedBy>Miko</cp:lastModifiedBy>
  <dcterms:modified xsi:type="dcterms:W3CDTF">2020-04-20T09:10:54Z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