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附件3</w:t>
      </w:r>
    </w:p>
    <w:p>
      <w:pPr>
        <w:adjustRightInd w:val="0"/>
        <w:snapToGrid w:val="0"/>
        <w:spacing w:line="240" w:lineRule="atLeast"/>
        <w:jc w:val="center"/>
        <w:outlineLvl w:val="0"/>
        <w:rPr>
          <w:rFonts w:hint="default" w:ascii="Times New Roman" w:hAnsi="Times New Roman" w:eastAsia="方正小标宋简体" w:cs="Times New Roman"/>
          <w:bCs/>
          <w:kern w:val="44"/>
          <w:sz w:val="44"/>
          <w:szCs w:val="44"/>
        </w:rPr>
      </w:pPr>
    </w:p>
    <w:p>
      <w:pPr>
        <w:adjustRightInd w:val="0"/>
        <w:snapToGrid w:val="0"/>
        <w:spacing w:line="240" w:lineRule="atLeast"/>
        <w:jc w:val="center"/>
        <w:outlineLvl w:val="0"/>
        <w:rPr>
          <w:rFonts w:hint="default" w:ascii="Times New Roman" w:hAnsi="Times New Roman" w:eastAsia="方正小标宋简体" w:cs="Times New Roman"/>
          <w:bCs/>
          <w:kern w:val="44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kern w:val="44"/>
          <w:sz w:val="44"/>
          <w:szCs w:val="44"/>
        </w:rPr>
        <w:t>欺诈骗取医疗保障基金案例模板</w:t>
      </w:r>
    </w:p>
    <w:bookmarkEnd w:id="0"/>
    <w:p>
      <w:pPr>
        <w:adjustRightInd w:val="0"/>
        <w:snapToGrid w:val="0"/>
        <w:spacing w:line="240" w:lineRule="atLeast"/>
        <w:jc w:val="center"/>
        <w:outlineLvl w:val="0"/>
        <w:rPr>
          <w:rFonts w:hint="default" w:ascii="Times New Roman" w:hAnsi="Times New Roman" w:eastAsia="方正小标宋简体" w:cs="Times New Roman"/>
          <w:bCs/>
          <w:kern w:val="44"/>
          <w:sz w:val="44"/>
          <w:szCs w:val="44"/>
        </w:rPr>
      </w:pP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一、报送单位：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**市医疗保障局/其他。</w:t>
      </w:r>
    </w:p>
    <w:p>
      <w:pPr>
        <w:ind w:firstLine="640" w:firstLineChars="200"/>
        <w:jc w:val="left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二、线索情况描述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（一）线索来源。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1、群众举报（举报电话/举报信/微信公众号），2、智能监控，3、专项（实地）检查，4、其他。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（二）线索内容。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简要概括描述线索内容。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（三）线索分析。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筒要描述对线索的判断/预估风险，分 析检查切入点及相关举措。</w:t>
      </w:r>
    </w:p>
    <w:p>
      <w:pPr>
        <w:ind w:firstLine="640" w:firstLineChars="200"/>
        <w:jc w:val="left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三、工作部署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简要描述工作安排情况，如何争取相关方面支持等。</w:t>
      </w:r>
    </w:p>
    <w:p>
      <w:pPr>
        <w:ind w:firstLine="640" w:firstLineChars="200"/>
        <w:jc w:val="left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四、检查过程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简要描述工作组采取哪几方面步骤进行了哪些检查，及 发现哪些问题，如何争取被检查对象配合等。</w:t>
      </w:r>
    </w:p>
    <w:p>
      <w:pPr>
        <w:ind w:firstLine="640" w:firstLineChars="200"/>
        <w:jc w:val="left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五、检查结果</w:t>
      </w:r>
    </w:p>
    <w:p>
      <w:pPr>
        <w:ind w:firstLine="640" w:firstLineChars="200"/>
        <w:jc w:val="left"/>
        <w:rPr>
          <w:rFonts w:hint="default" w:ascii="Times New Roman" w:hAnsi="Times New Roman" w:eastAsia="楷体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（一）检查结论。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（二）涉及违规行为及类型。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可根据实际情况描述，包含但不限于下列内容:虚假宣传、诱导骗取参保人住院，恶意挂床住院，伪造编造医疗文书医疗费用票据，协助参保人员套现套保，虚记、多记药品、诊疗项目，串换药品项目等，留存、盗刷、冒用参保人社保卡。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（三）其他问题。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如有，请简要描述核查中发现的其它问题。</w:t>
      </w:r>
    </w:p>
    <w:p>
      <w:pPr>
        <w:ind w:firstLine="640" w:firstLineChars="200"/>
        <w:jc w:val="left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六、处理情况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简要描述当地医保局的处理结果，包括协议处理、行政处罚及移送其他部门处理情况。</w:t>
      </w:r>
    </w:p>
    <w:p>
      <w:pPr>
        <w:ind w:firstLine="640" w:firstLineChars="200"/>
        <w:jc w:val="left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七、工作建议</w:t>
      </w:r>
    </w:p>
    <w:p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根据本次检查工作简要描述对反欺诈骗保工作的建议或心得体会。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4A5FE0"/>
    <w:rsid w:val="294A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2020-04-20T09:01:00Z</dcterms:created>
  <dc:creator>Miko</dc:creator>
  <cp:lastModifiedBy>Miko</cp:lastModifiedBy>
  <dcterms:modified xsi:type="dcterms:W3CDTF">2020-04-20T09:01:19Z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2052-10.8.2.7030</vt:lpwstr>
  </property>
</Properties>
</file>