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医保基金监管工作相关统计数据报表（表1-2）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tbl>
      <w:tblPr>
        <w:tblStyle w:val="3"/>
        <w:tblW w:w="163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631"/>
        <w:gridCol w:w="417"/>
        <w:gridCol w:w="417"/>
        <w:gridCol w:w="417"/>
        <w:gridCol w:w="417"/>
        <w:gridCol w:w="417"/>
        <w:gridCol w:w="417"/>
        <w:gridCol w:w="417"/>
        <w:gridCol w:w="417"/>
        <w:gridCol w:w="501"/>
        <w:gridCol w:w="5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630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24"/>
                <w:szCs w:val="24"/>
              </w:rPr>
              <w:t>表1——协议服务医药机构违法违规违约行为查处相关统计数据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地区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时间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稽查情况</w:t>
            </w:r>
          </w:p>
        </w:tc>
        <w:tc>
          <w:tcPr>
            <w:tcW w:w="1233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对协议医药机构处理情况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医保类别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定点医疗机构数量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定点零售药店数量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接处举报线索数量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检查数量（含实地检查、上门及电话访问等）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处理家数小计</w:t>
            </w:r>
          </w:p>
        </w:tc>
        <w:tc>
          <w:tcPr>
            <w:tcW w:w="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处理家数与检查家数占比（%）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警告约谈限期整改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通报批评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暂停协议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终止协议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移交司法机关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其他处理</w:t>
            </w:r>
          </w:p>
        </w:tc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违规例数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追回损失（万元）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对机构人员处理（人次）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举报奖励情况</w:t>
            </w:r>
          </w:p>
        </w:tc>
        <w:tc>
          <w:tcPr>
            <w:tcW w:w="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媒体公开通报情况（次）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参保对象人数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医疗机构数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零售药店数</w:t>
            </w: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违约金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基金本金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约谈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行政处理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移交司法机关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案例数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统筹区1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当期（月）数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年度累计数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统筹区2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当期（月）数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年度累计数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┈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某市州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当期（月）数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年度累计数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3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注：1.一家协议医药服务机构有多种处理形式，8≤10-23栏总和。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302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 xml:space="preserve">    2.医疗机构违规例数指违规的病历份数，药店违规例数指查处案例数。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3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 xml:space="preserve">    3.其他处理指仅处以追回和拒付本金以及收缴违约金等。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302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4.行政处罚款是行政部门处以的罚款，违约金是经办机构按协议约定处以的违约金。</w:t>
            </w:r>
          </w:p>
          <w:p>
            <w:pPr>
              <w:widowControl/>
              <w:ind w:firstLine="360"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5.2018年填报自专项行动启动以来数据。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sectPr>
          <w:pgSz w:w="16838" w:h="11906" w:orient="landscape"/>
          <w:pgMar w:top="1587" w:right="1984" w:bottom="1417" w:left="1814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widowControl/>
        <w:jc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  <w:szCs w:val="24"/>
        </w:rPr>
        <w:t>表2——参保人员及医保部门工作人员违法违规行为查处相关统计数据</w:t>
      </w:r>
    </w:p>
    <w:tbl>
      <w:tblPr>
        <w:tblStyle w:val="3"/>
        <w:tblW w:w="14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930"/>
        <w:gridCol w:w="930"/>
        <w:gridCol w:w="653"/>
        <w:gridCol w:w="453"/>
        <w:gridCol w:w="1105"/>
        <w:gridCol w:w="1132"/>
        <w:gridCol w:w="1471"/>
        <w:gridCol w:w="1069"/>
        <w:gridCol w:w="1173"/>
        <w:gridCol w:w="1114"/>
        <w:gridCol w:w="1014"/>
        <w:gridCol w:w="1074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参保人员违法违规处理结果</w:t>
            </w:r>
          </w:p>
        </w:tc>
        <w:tc>
          <w:tcPr>
            <w:tcW w:w="3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举报奖励情况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媒体公开通报情况（次）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约谈（人）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移交司法机关（人）</w:t>
            </w:r>
          </w:p>
        </w:tc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其他处理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违规例数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追回金额（万元）</w:t>
            </w:r>
          </w:p>
        </w:tc>
        <w:tc>
          <w:tcPr>
            <w:tcW w:w="3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行政处罚款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基金本金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案例数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医保部门工作人员违规处理结果</w:t>
            </w:r>
          </w:p>
        </w:tc>
        <w:tc>
          <w:tcPr>
            <w:tcW w:w="3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举报奖励情况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媒体公开通报情况（次）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约谈（人）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移交司法机关（人）</w:t>
            </w:r>
          </w:p>
        </w:tc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其他处理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违规例数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追回金额（万元）</w:t>
            </w:r>
          </w:p>
        </w:tc>
        <w:tc>
          <w:tcPr>
            <w:tcW w:w="3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行政处罚款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基金本金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案例数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单位负责人：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部门负责人：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经办人：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联系方式：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注：1.一个案例违规处理有多种处理结果，1≤2+3+4。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 xml:space="preserve">    2.参保人员违规例数指违规的案例数；经办机构违规例数指违规的案例数。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 xml:space="preserve">    3.其他处理指仅处以追回和拒付本金以及处以违约金等。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6838" w:h="11906" w:orient="landscape"/>
          <w:pgMar w:top="1587" w:right="1984" w:bottom="1417" w:left="1814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附件7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要情报告责任人信息回执</w:t>
      </w:r>
    </w:p>
    <w:p>
      <w:pPr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报送单位:(          )市州医保局    </w:t>
      </w:r>
      <w:bookmarkStart w:id="0" w:name="_GoBack"/>
      <w:bookmarkEnd w:id="0"/>
    </w:p>
    <w:tbl>
      <w:tblPr>
        <w:tblStyle w:val="4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20"/>
        <w:gridCol w:w="1720"/>
        <w:gridCol w:w="1719"/>
        <w:gridCol w:w="2838"/>
        <w:gridCol w:w="219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医保类别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人员类别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办公室电话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统筹区1</w:t>
            </w:r>
          </w:p>
        </w:tc>
        <w:tc>
          <w:tcPr>
            <w:tcW w:w="1720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统筹区2</w:t>
            </w:r>
          </w:p>
        </w:tc>
        <w:tc>
          <w:tcPr>
            <w:tcW w:w="172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┅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市州医保局</w:t>
            </w:r>
          </w:p>
        </w:tc>
        <w:tc>
          <w:tcPr>
            <w:tcW w:w="172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——</w:t>
            </w: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负责人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经办专人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6838" w:h="11906" w:orient="landscape"/>
          <w:pgMar w:top="1587" w:right="1984" w:bottom="1417" w:left="1814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72D8"/>
    <w:rsid w:val="20E61D6A"/>
    <w:rsid w:val="471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2020-04-20T09:02:00Z</dcterms:created>
  <dc:creator>Miko</dc:creator>
  <cp:lastModifiedBy>Miko</cp:lastModifiedBy>
  <dcterms:modified xsi:type="dcterms:W3CDTF">2020-04-20T09:02:55Z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