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center"/>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eastAsia="zh-CN"/>
        </w:rPr>
        <w:t>湖南</w:t>
      </w:r>
      <w:r>
        <w:rPr>
          <w:rFonts w:hint="eastAsia" w:ascii="方正小标宋简体" w:hAnsi="方正小标宋简体" w:eastAsia="方正小标宋简体" w:cs="方正小标宋简体"/>
          <w:b w:val="0"/>
          <w:bCs w:val="0"/>
          <w:color w:val="auto"/>
          <w:sz w:val="44"/>
          <w:szCs w:val="44"/>
        </w:rPr>
        <w:t>门诊慢特病跨省直接结算攻略</w:t>
      </w:r>
    </w:p>
    <w:p>
      <w:pPr>
        <w:pStyle w:val="2"/>
        <w:ind w:firstLine="640" w:firstLineChars="200"/>
        <w:rPr>
          <w:rFonts w:hint="eastAsia" w:eastAsia="仿宋_GB2312" w:cs="Times New Roman"/>
          <w:snapToGrid/>
          <w:color w:val="auto"/>
          <w:kern w:val="2"/>
          <w:sz w:val="32"/>
          <w:szCs w:val="32"/>
          <w:lang w:val="en-US" w:eastAsia="zh-CN" w:bidi="ar-SA"/>
        </w:rPr>
      </w:pPr>
      <w:r>
        <w:rPr>
          <w:rFonts w:hint="eastAsia" w:eastAsia="仿宋_GB2312" w:cs="Times New Roman"/>
          <w:snapToGrid/>
          <w:color w:val="auto"/>
          <w:kern w:val="2"/>
          <w:sz w:val="32"/>
          <w:szCs w:val="32"/>
          <w:lang w:val="en-US" w:eastAsia="zh-CN" w:bidi="ar-SA"/>
        </w:rPr>
        <w:t>湖南</w:t>
      </w:r>
      <w:r>
        <w:rPr>
          <w:rFonts w:hint="eastAsia" w:ascii="Times New Roman" w:hAnsi="Times New Roman" w:eastAsia="仿宋_GB2312" w:cs="Times New Roman"/>
          <w:snapToGrid/>
          <w:color w:val="auto"/>
          <w:kern w:val="2"/>
          <w:sz w:val="32"/>
          <w:szCs w:val="32"/>
          <w:lang w:val="en-US" w:eastAsia="zh-CN" w:bidi="ar-SA"/>
        </w:rPr>
        <w:t>参保人</w:t>
      </w:r>
      <w:r>
        <w:rPr>
          <w:rFonts w:hint="eastAsia" w:eastAsia="仿宋_GB2312" w:cs="Times New Roman"/>
          <w:snapToGrid/>
          <w:color w:val="auto"/>
          <w:kern w:val="2"/>
          <w:sz w:val="32"/>
          <w:szCs w:val="32"/>
          <w:lang w:val="en-US" w:eastAsia="zh-CN" w:bidi="ar-SA"/>
        </w:rPr>
        <w:t>黄嗲嗲常年在北京照顾孙子。最近，他听说湖南开通了高血压、糖尿病、恶性肿瘤门诊放化疗、尿毒症透析、器官移植术后抗排异治疗等5</w:t>
      </w:r>
      <w:r>
        <w:rPr>
          <w:rFonts w:hint="eastAsia" w:eastAsia="仿宋_GB2312" w:cs="Times New Roman"/>
          <w:snapToGrid/>
          <w:color w:val="auto"/>
          <w:kern w:val="2"/>
          <w:sz w:val="32"/>
          <w:szCs w:val="32"/>
          <w:lang w:val="en-US" w:eastAsia="zh-CN" w:bidi="ar-SA"/>
        </w:rPr>
        <w:t>个</w:t>
      </w:r>
      <w:r>
        <w:rPr>
          <w:rFonts w:hint="eastAsia" w:eastAsia="仿宋_GB2312" w:cs="Times New Roman"/>
          <w:snapToGrid/>
          <w:color w:val="auto"/>
          <w:kern w:val="2"/>
          <w:sz w:val="32"/>
          <w:szCs w:val="32"/>
          <w:lang w:val="en-US" w:eastAsia="zh-CN" w:bidi="ar-SA"/>
        </w:rPr>
        <w:t>门诊慢特病治疗费用跨省直接结算。这5</w:t>
      </w:r>
      <w:r>
        <w:rPr>
          <w:rFonts w:hint="eastAsia" w:eastAsia="仿宋_GB2312" w:cs="Times New Roman"/>
          <w:snapToGrid/>
          <w:color w:val="auto"/>
          <w:kern w:val="2"/>
          <w:sz w:val="32"/>
          <w:szCs w:val="32"/>
          <w:lang w:val="en-US" w:eastAsia="zh-CN" w:bidi="ar-SA"/>
        </w:rPr>
        <w:t>个</w:t>
      </w:r>
      <w:r>
        <w:rPr>
          <w:rFonts w:hint="eastAsia" w:eastAsia="仿宋_GB2312" w:cs="Times New Roman"/>
          <w:snapToGrid/>
          <w:color w:val="auto"/>
          <w:kern w:val="2"/>
          <w:sz w:val="32"/>
          <w:szCs w:val="32"/>
          <w:lang w:val="en-US" w:eastAsia="zh-CN" w:bidi="ar-SA"/>
        </w:rPr>
        <w:t>门诊慢特病跨省直接结算应该怎么办？需要哪些证明？今天，小编带着黄嗲嗲的疑问，梳理出以下攻略。</w:t>
      </w:r>
      <w:bookmarkStart w:id="0" w:name="_GoBack"/>
      <w:bookmarkEnd w:id="0"/>
    </w:p>
    <w:p>
      <w:pPr>
        <w:pStyle w:val="3"/>
        <w:rPr>
          <w:rFonts w:hint="eastAsia"/>
          <w:color w:val="auto"/>
          <w:lang w:val="en-US" w:eastAsia="zh-CN"/>
        </w:rPr>
      </w:pPr>
    </w:p>
    <w:p>
      <w:pPr>
        <w:pStyle w:val="2"/>
        <w:jc w:val="center"/>
        <w:rPr>
          <w:rFonts w:hint="eastAsia" w:eastAsia="微软雅黑" w:cs="Times New Roman"/>
          <w:snapToGrid/>
          <w:color w:val="auto"/>
          <w:kern w:val="2"/>
          <w:sz w:val="32"/>
          <w:szCs w:val="32"/>
          <w:lang w:val="en-US" w:eastAsia="zh-CN" w:bidi="ar-SA"/>
        </w:rPr>
      </w:pPr>
      <w:r>
        <w:rPr>
          <w:rStyle w:val="8"/>
          <w:rFonts w:ascii="微软雅黑" w:hAnsi="微软雅黑" w:eastAsia="微软雅黑" w:cs="微软雅黑"/>
          <w:i w:val="0"/>
          <w:iCs w:val="0"/>
          <w:caps w:val="0"/>
          <w:color w:val="auto"/>
          <w:spacing w:val="8"/>
          <w:sz w:val="25"/>
          <w:szCs w:val="25"/>
          <w:shd w:val="clear" w:fill="FFFFFF"/>
        </w:rPr>
        <w:t>如何了解自己</w:t>
      </w:r>
      <w:r>
        <w:rPr>
          <w:rStyle w:val="8"/>
          <w:rFonts w:hint="eastAsia" w:ascii="微软雅黑" w:hAnsi="微软雅黑" w:eastAsia="微软雅黑" w:cs="微软雅黑"/>
          <w:i w:val="0"/>
          <w:iCs w:val="0"/>
          <w:caps w:val="0"/>
          <w:color w:val="auto"/>
          <w:spacing w:val="8"/>
          <w:sz w:val="25"/>
          <w:szCs w:val="25"/>
          <w:shd w:val="clear" w:fill="FFFFFF"/>
          <w:lang w:val="en-US" w:eastAsia="zh-CN"/>
        </w:rPr>
        <w:t>跨省</w:t>
      </w:r>
      <w:r>
        <w:rPr>
          <w:rStyle w:val="8"/>
          <w:rFonts w:ascii="微软雅黑" w:hAnsi="微软雅黑" w:eastAsia="微软雅黑" w:cs="微软雅黑"/>
          <w:i w:val="0"/>
          <w:iCs w:val="0"/>
          <w:caps w:val="0"/>
          <w:color w:val="auto"/>
          <w:spacing w:val="8"/>
          <w:sz w:val="25"/>
          <w:szCs w:val="25"/>
          <w:shd w:val="clear" w:fill="FFFFFF"/>
        </w:rPr>
        <w:t>异地就医是否享受门诊慢特病待遇</w:t>
      </w:r>
      <w:r>
        <w:rPr>
          <w:rStyle w:val="8"/>
          <w:rFonts w:hint="eastAsia" w:ascii="微软雅黑" w:hAnsi="微软雅黑" w:eastAsia="微软雅黑" w:cs="微软雅黑"/>
          <w:i w:val="0"/>
          <w:iCs w:val="0"/>
          <w:caps w:val="0"/>
          <w:color w:val="auto"/>
          <w:spacing w:val="8"/>
          <w:sz w:val="25"/>
          <w:szCs w:val="25"/>
          <w:shd w:val="clear" w:fill="FFFFFF"/>
          <w:lang w:eastAsia="zh-CN"/>
        </w:rPr>
        <w:t>？</w:t>
      </w:r>
    </w:p>
    <w:p>
      <w:pPr>
        <w:pStyle w:val="2"/>
        <w:ind w:firstLine="640" w:firstLineChars="200"/>
        <w:rPr>
          <w:rFonts w:hint="eastAsia" w:ascii="Times New Roman" w:hAnsi="Times New Roman" w:eastAsia="仿宋_GB2312" w:cs="Times New Roman"/>
          <w:snapToGrid/>
          <w:color w:val="auto"/>
          <w:kern w:val="2"/>
          <w:sz w:val="32"/>
          <w:szCs w:val="32"/>
          <w:lang w:val="en-US" w:eastAsia="zh-CN" w:bidi="ar-SA"/>
        </w:rPr>
      </w:pPr>
      <w:r>
        <w:rPr>
          <w:rFonts w:hint="eastAsia" w:eastAsia="仿宋_GB2312" w:cs="Times New Roman"/>
          <w:snapToGrid/>
          <w:color w:val="auto"/>
          <w:kern w:val="2"/>
          <w:sz w:val="32"/>
          <w:szCs w:val="32"/>
          <w:lang w:val="en-US" w:eastAsia="zh-CN" w:bidi="ar-SA"/>
        </w:rPr>
        <w:t>湖南</w:t>
      </w:r>
      <w:r>
        <w:rPr>
          <w:rFonts w:hint="eastAsia" w:ascii="Times New Roman" w:hAnsi="Times New Roman" w:eastAsia="仿宋_GB2312" w:cs="Times New Roman"/>
          <w:snapToGrid/>
          <w:color w:val="auto"/>
          <w:kern w:val="2"/>
          <w:sz w:val="32"/>
          <w:szCs w:val="32"/>
          <w:lang w:val="en-US" w:eastAsia="zh-CN" w:bidi="ar-SA"/>
        </w:rPr>
        <w:t>参保人享受门诊慢特病待遇需要按照参保地规定进行门诊慢特病资格认定。资格认定</w:t>
      </w:r>
      <w:r>
        <w:rPr>
          <w:rFonts w:hint="eastAsia" w:eastAsia="仿宋_GB2312" w:cs="Times New Roman"/>
          <w:snapToGrid/>
          <w:color w:val="auto"/>
          <w:kern w:val="2"/>
          <w:sz w:val="32"/>
          <w:szCs w:val="32"/>
          <w:lang w:val="en-US" w:eastAsia="zh-CN" w:bidi="ar-SA"/>
        </w:rPr>
        <w:t>成功后，</w:t>
      </w:r>
      <w:r>
        <w:rPr>
          <w:rFonts w:hint="eastAsia" w:ascii="Times New Roman" w:hAnsi="Times New Roman" w:eastAsia="仿宋_GB2312" w:cs="Times New Roman"/>
          <w:snapToGrid/>
          <w:color w:val="auto"/>
          <w:kern w:val="2"/>
          <w:sz w:val="32"/>
          <w:szCs w:val="32"/>
          <w:lang w:val="en-US" w:eastAsia="zh-CN" w:bidi="ar-SA"/>
        </w:rPr>
        <w:t>参保人可以登录国家医保服务平台APP，在“异地备案”服务专区，点击查询服务下的“异地就医更多查询”，选择“门慢特资格”，查询自己的门诊慢特病资格认定信息</w:t>
      </w:r>
      <w:r>
        <w:rPr>
          <w:rFonts w:hint="eastAsia" w:eastAsia="仿宋_GB2312" w:cs="Times New Roman"/>
          <w:snapToGrid/>
          <w:color w:val="auto"/>
          <w:kern w:val="2"/>
          <w:sz w:val="32"/>
          <w:szCs w:val="32"/>
          <w:lang w:val="en-US" w:eastAsia="zh-CN" w:bidi="ar-SA"/>
        </w:rPr>
        <w:t>；</w:t>
      </w:r>
      <w:r>
        <w:rPr>
          <w:rFonts w:hint="eastAsia" w:ascii="Times New Roman" w:hAnsi="Times New Roman" w:eastAsia="仿宋_GB2312" w:cs="Times New Roman"/>
          <w:snapToGrid/>
          <w:color w:val="auto"/>
          <w:kern w:val="2"/>
          <w:sz w:val="32"/>
          <w:szCs w:val="32"/>
          <w:lang w:val="en-US" w:eastAsia="zh-CN" w:bidi="ar-SA"/>
        </w:rPr>
        <w:t>选择“门慢特告知书”，了解参保地门诊慢特病相关治疗费用跨省直接结算政策、流程等内容。目前，</w:t>
      </w:r>
      <w:r>
        <w:rPr>
          <w:rFonts w:hint="eastAsia" w:eastAsia="仿宋_GB2312" w:cs="Times New Roman"/>
          <w:snapToGrid/>
          <w:color w:val="auto"/>
          <w:kern w:val="2"/>
          <w:sz w:val="32"/>
          <w:szCs w:val="32"/>
          <w:lang w:val="en-US" w:eastAsia="zh-CN" w:bidi="ar-SA"/>
        </w:rPr>
        <w:t>湖南</w:t>
      </w:r>
      <w:r>
        <w:rPr>
          <w:rFonts w:hint="eastAsia" w:ascii="Times New Roman" w:hAnsi="Times New Roman" w:eastAsia="仿宋_GB2312" w:cs="Times New Roman"/>
          <w:snapToGrid/>
          <w:color w:val="auto"/>
          <w:kern w:val="2"/>
          <w:sz w:val="32"/>
          <w:szCs w:val="32"/>
          <w:lang w:val="en-US" w:eastAsia="zh-CN" w:bidi="ar-SA"/>
        </w:rPr>
        <w:t>每个统筹区为参保人准备了门诊慢特病跨省直接结算</w:t>
      </w:r>
      <w:r>
        <w:rPr>
          <w:rFonts w:hint="eastAsia" w:eastAsia="仿宋_GB2312" w:cs="Times New Roman"/>
          <w:snapToGrid/>
          <w:color w:val="auto"/>
          <w:kern w:val="2"/>
          <w:sz w:val="32"/>
          <w:szCs w:val="32"/>
          <w:lang w:val="en-US" w:eastAsia="zh-CN" w:bidi="ar-SA"/>
        </w:rPr>
        <w:t>政策及流程</w:t>
      </w:r>
      <w:r>
        <w:rPr>
          <w:rFonts w:hint="eastAsia" w:ascii="Times New Roman" w:hAnsi="Times New Roman" w:eastAsia="仿宋_GB2312" w:cs="Times New Roman"/>
          <w:snapToGrid/>
          <w:color w:val="auto"/>
          <w:kern w:val="2"/>
          <w:sz w:val="32"/>
          <w:szCs w:val="32"/>
          <w:lang w:val="en-US" w:eastAsia="zh-CN" w:bidi="ar-SA"/>
        </w:rPr>
        <w:t>告知书。</w:t>
      </w:r>
    </w:p>
    <w:p>
      <w:pPr>
        <w:pStyle w:val="3"/>
        <w:ind w:left="0" w:leftChars="0" w:firstLine="0" w:firstLineChars="0"/>
        <w:jc w:val="left"/>
        <w:rPr>
          <w:rFonts w:hint="default"/>
          <w:color w:val="auto"/>
          <w:lang w:val="en-US" w:eastAsia="zh-CN"/>
        </w:rPr>
      </w:pPr>
      <w:r>
        <w:rPr>
          <w:rFonts w:hint="default"/>
          <w:color w:val="auto"/>
          <w:lang w:val="en-US" w:eastAsia="zh-CN"/>
        </w:rPr>
        <w:drawing>
          <wp:inline distT="0" distB="0" distL="114300" distR="114300">
            <wp:extent cx="2467610" cy="5431790"/>
            <wp:effectExtent l="0" t="0" r="8890" b="16510"/>
            <wp:docPr id="2" name="图片 2" descr="617f42b9f19c3657c505f49f6d24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7f42b9f19c3657c505f49f6d24f08"/>
                    <pic:cNvPicPr>
                      <a:picLocks noChangeAspect="1"/>
                    </pic:cNvPicPr>
                  </pic:nvPicPr>
                  <pic:blipFill>
                    <a:blip r:embed="rId4"/>
                    <a:stretch>
                      <a:fillRect/>
                    </a:stretch>
                  </pic:blipFill>
                  <pic:spPr>
                    <a:xfrm>
                      <a:off x="0" y="0"/>
                      <a:ext cx="2467610" cy="5431790"/>
                    </a:xfrm>
                    <a:prstGeom prst="rect">
                      <a:avLst/>
                    </a:prstGeom>
                  </pic:spPr>
                </pic:pic>
              </a:graphicData>
            </a:graphic>
          </wp:inline>
        </w:drawing>
      </w:r>
      <w:r>
        <w:rPr>
          <w:rFonts w:hint="default"/>
          <w:color w:val="auto"/>
          <w:lang w:val="en-US" w:eastAsia="zh-CN"/>
        </w:rPr>
        <w:drawing>
          <wp:inline distT="0" distB="0" distL="114300" distR="114300">
            <wp:extent cx="2480945" cy="5461000"/>
            <wp:effectExtent l="0" t="0" r="14605" b="6350"/>
            <wp:docPr id="3" name="图片 3" descr="2a10dd7d1131d5a885107a683333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10dd7d1131d5a885107a6833338cb"/>
                    <pic:cNvPicPr>
                      <a:picLocks noChangeAspect="1"/>
                    </pic:cNvPicPr>
                  </pic:nvPicPr>
                  <pic:blipFill>
                    <a:blip r:embed="rId5"/>
                    <a:stretch>
                      <a:fillRect/>
                    </a:stretch>
                  </pic:blipFill>
                  <pic:spPr>
                    <a:xfrm>
                      <a:off x="0" y="0"/>
                      <a:ext cx="2480945" cy="5461000"/>
                    </a:xfrm>
                    <a:prstGeom prst="rect">
                      <a:avLst/>
                    </a:prstGeom>
                  </pic:spPr>
                </pic:pic>
              </a:graphicData>
            </a:graphic>
          </wp:inline>
        </w:drawing>
      </w:r>
    </w:p>
    <w:p>
      <w:pPr>
        <w:rPr>
          <w:rFonts w:hint="default"/>
          <w:color w:val="auto"/>
          <w:lang w:val="en-US" w:eastAsia="zh-CN"/>
        </w:rPr>
      </w:pPr>
      <w:r>
        <w:rPr>
          <w:rFonts w:hint="default"/>
          <w:color w:val="auto"/>
          <w:lang w:val="en-US" w:eastAsia="zh-CN"/>
        </w:rPr>
        <w:drawing>
          <wp:inline distT="0" distB="0" distL="114300" distR="114300">
            <wp:extent cx="2425065" cy="5335905"/>
            <wp:effectExtent l="0" t="0" r="13335" b="17145"/>
            <wp:docPr id="4" name="图片 4" descr="0059772ccebb97bba279db1119a1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59772ccebb97bba279db1119a1ccc"/>
                    <pic:cNvPicPr>
                      <a:picLocks noChangeAspect="1"/>
                    </pic:cNvPicPr>
                  </pic:nvPicPr>
                  <pic:blipFill>
                    <a:blip r:embed="rId6"/>
                    <a:stretch>
                      <a:fillRect/>
                    </a:stretch>
                  </pic:blipFill>
                  <pic:spPr>
                    <a:xfrm>
                      <a:off x="0" y="0"/>
                      <a:ext cx="2425065" cy="5335905"/>
                    </a:xfrm>
                    <a:prstGeom prst="rect">
                      <a:avLst/>
                    </a:prstGeom>
                  </pic:spPr>
                </pic:pic>
              </a:graphicData>
            </a:graphic>
          </wp:inline>
        </w:drawing>
      </w:r>
      <w:r>
        <w:rPr>
          <w:rFonts w:hint="default"/>
          <w:color w:val="auto"/>
          <w:lang w:val="en-US" w:eastAsia="zh-CN"/>
        </w:rPr>
        <w:drawing>
          <wp:inline distT="0" distB="0" distL="114300" distR="114300">
            <wp:extent cx="2425065" cy="5334635"/>
            <wp:effectExtent l="0" t="0" r="13335" b="18415"/>
            <wp:docPr id="5" name="图片 5" descr="C:\Users\Administrator\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12.jpg12"/>
                    <pic:cNvPicPr>
                      <a:picLocks noChangeAspect="1"/>
                    </pic:cNvPicPr>
                  </pic:nvPicPr>
                  <pic:blipFill>
                    <a:blip r:embed="rId7"/>
                    <a:srcRect/>
                    <a:stretch>
                      <a:fillRect/>
                    </a:stretch>
                  </pic:blipFill>
                  <pic:spPr>
                    <a:xfrm>
                      <a:off x="0" y="0"/>
                      <a:ext cx="2425065" cy="5334635"/>
                    </a:xfrm>
                    <a:prstGeom prst="rect">
                      <a:avLst/>
                    </a:prstGeom>
                  </pic:spPr>
                </pic:pic>
              </a:graphicData>
            </a:graphic>
          </wp:inline>
        </w:drawing>
      </w:r>
    </w:p>
    <w:p>
      <w:pPr>
        <w:rPr>
          <w:rFonts w:hint="default"/>
          <w:color w:val="auto"/>
          <w:lang w:val="en-US" w:eastAsia="zh-CN"/>
        </w:rPr>
      </w:pPr>
    </w:p>
    <w:p>
      <w:pPr>
        <w:jc w:val="both"/>
        <w:rPr>
          <w:rStyle w:val="8"/>
          <w:rFonts w:ascii="微软雅黑" w:hAnsi="微软雅黑" w:eastAsia="微软雅黑" w:cs="微软雅黑"/>
          <w:i w:val="0"/>
          <w:iCs w:val="0"/>
          <w:caps w:val="0"/>
          <w:color w:val="auto"/>
          <w:spacing w:val="8"/>
          <w:kern w:val="2"/>
          <w:sz w:val="25"/>
          <w:szCs w:val="25"/>
          <w:shd w:val="clear" w:fill="FFFFFF"/>
          <w:lang w:val="en-US" w:eastAsia="zh-CN" w:bidi="ar-SA"/>
        </w:rPr>
      </w:pPr>
    </w:p>
    <w:p>
      <w:pPr>
        <w:jc w:val="center"/>
        <w:rPr>
          <w:rStyle w:val="8"/>
          <w:rFonts w:hint="eastAsia" w:ascii="微软雅黑" w:hAnsi="微软雅黑" w:eastAsia="微软雅黑" w:cs="微软雅黑"/>
          <w:i w:val="0"/>
          <w:iCs w:val="0"/>
          <w:caps w:val="0"/>
          <w:color w:val="auto"/>
          <w:spacing w:val="8"/>
          <w:kern w:val="2"/>
          <w:sz w:val="25"/>
          <w:szCs w:val="25"/>
          <w:shd w:val="clear" w:fill="FFFFFF"/>
          <w:lang w:val="en-US" w:eastAsia="zh-CN" w:bidi="ar-SA"/>
        </w:rPr>
      </w:pPr>
      <w:r>
        <w:rPr>
          <w:rStyle w:val="8"/>
          <w:rFonts w:ascii="微软雅黑" w:hAnsi="微软雅黑" w:eastAsia="微软雅黑" w:cs="微软雅黑"/>
          <w:i w:val="0"/>
          <w:iCs w:val="0"/>
          <w:caps w:val="0"/>
          <w:color w:val="auto"/>
          <w:spacing w:val="8"/>
          <w:kern w:val="2"/>
          <w:sz w:val="25"/>
          <w:szCs w:val="25"/>
          <w:shd w:val="clear" w:fill="FFFFFF"/>
          <w:lang w:val="en-US" w:eastAsia="zh-CN" w:bidi="ar-SA"/>
        </w:rPr>
        <w:t>哪些医院可以直接结算5</w:t>
      </w:r>
      <w:r>
        <w:rPr>
          <w:rStyle w:val="8"/>
          <w:rFonts w:hint="eastAsia" w:ascii="微软雅黑" w:hAnsi="微软雅黑" w:eastAsia="微软雅黑" w:cs="微软雅黑"/>
          <w:i w:val="0"/>
          <w:iCs w:val="0"/>
          <w:caps w:val="0"/>
          <w:color w:val="auto"/>
          <w:spacing w:val="8"/>
          <w:kern w:val="2"/>
          <w:sz w:val="25"/>
          <w:szCs w:val="25"/>
          <w:shd w:val="clear" w:fill="FFFFFF"/>
          <w:lang w:val="en-US" w:eastAsia="zh-CN" w:bidi="ar-SA"/>
        </w:rPr>
        <w:t>个</w:t>
      </w:r>
      <w:r>
        <w:rPr>
          <w:rStyle w:val="8"/>
          <w:rFonts w:ascii="微软雅黑" w:hAnsi="微软雅黑" w:eastAsia="微软雅黑" w:cs="微软雅黑"/>
          <w:i w:val="0"/>
          <w:iCs w:val="0"/>
          <w:caps w:val="0"/>
          <w:color w:val="auto"/>
          <w:spacing w:val="8"/>
          <w:kern w:val="2"/>
          <w:sz w:val="25"/>
          <w:szCs w:val="25"/>
          <w:shd w:val="clear" w:fill="FFFFFF"/>
          <w:lang w:val="en-US" w:eastAsia="zh-CN" w:bidi="ar-SA"/>
        </w:rPr>
        <w:t>门诊慢特病治疗费用</w:t>
      </w:r>
    </w:p>
    <w:p>
      <w:pPr>
        <w:ind w:firstLine="640" w:firstLineChars="200"/>
        <w:jc w:val="left"/>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目前，全国各地正在有序扩大门诊慢特病费用跨省联网定点医疗机构范围。湖南参保人跨省就医前，需先查询就医地定点医疗机构门诊慢特病结算开通情况，可登录国家医保服务平台APP，在“异地备案”服务专区，点击查询服务下的“异地联网定点医药机构查询”，选择就医地，输入定点医疗机构名称，查询定点医疗机构门诊慢特病结算开通情况及支持病种；也可以点击“更多筛选”，在“开通类别”中选择“门诊慢特病”，查询就医地开通的所有</w:t>
      </w:r>
      <w:r>
        <w:rPr>
          <w:rFonts w:hint="eastAsia" w:ascii="Times New Roman" w:hAnsi="Times New Roman" w:eastAsia="仿宋_GB2312" w:cs="Times New Roman"/>
          <w:snapToGrid/>
          <w:color w:val="auto"/>
          <w:kern w:val="2"/>
          <w:sz w:val="32"/>
          <w:szCs w:val="32"/>
          <w:lang w:val="en-US" w:eastAsia="zh-CN" w:bidi="ar-SA"/>
        </w:rPr>
        <w:t>支持</w:t>
      </w:r>
      <w:r>
        <w:rPr>
          <w:rFonts w:hint="eastAsia" w:ascii="Times New Roman" w:hAnsi="Times New Roman" w:eastAsia="仿宋_GB2312" w:cs="Times New Roman"/>
          <w:snapToGrid/>
          <w:color w:val="auto"/>
          <w:kern w:val="2"/>
          <w:sz w:val="32"/>
          <w:szCs w:val="32"/>
          <w:lang w:val="en-US" w:eastAsia="zh-CN" w:bidi="ar-SA"/>
        </w:rPr>
        <w:t>门诊慢特病费用跨省联网</w:t>
      </w:r>
      <w:r>
        <w:rPr>
          <w:rFonts w:hint="eastAsia" w:ascii="Times New Roman" w:hAnsi="Times New Roman" w:eastAsia="仿宋_GB2312" w:cs="Times New Roman"/>
          <w:snapToGrid/>
          <w:color w:val="auto"/>
          <w:kern w:val="2"/>
          <w:sz w:val="32"/>
          <w:szCs w:val="32"/>
          <w:lang w:val="en-US" w:eastAsia="zh-CN" w:bidi="ar-SA"/>
        </w:rPr>
        <w:t>结算</w:t>
      </w:r>
      <w:r>
        <w:rPr>
          <w:rFonts w:hint="eastAsia" w:ascii="Times New Roman" w:hAnsi="Times New Roman" w:eastAsia="仿宋_GB2312" w:cs="Times New Roman"/>
          <w:snapToGrid/>
          <w:color w:val="auto"/>
          <w:kern w:val="2"/>
          <w:sz w:val="32"/>
          <w:szCs w:val="32"/>
          <w:lang w:val="en-US" w:eastAsia="zh-CN" w:bidi="ar-SA"/>
        </w:rPr>
        <w:t>定点医</w:t>
      </w:r>
      <w:r>
        <w:rPr>
          <w:rFonts w:hint="eastAsia" w:ascii="Times New Roman" w:hAnsi="Times New Roman" w:eastAsia="仿宋_GB2312" w:cs="Times New Roman"/>
          <w:snapToGrid/>
          <w:color w:val="auto"/>
          <w:kern w:val="2"/>
          <w:sz w:val="32"/>
          <w:szCs w:val="32"/>
          <w:lang w:val="en-US" w:eastAsia="zh-CN" w:bidi="ar-SA"/>
        </w:rPr>
        <w:t>疗</w:t>
      </w:r>
      <w:r>
        <w:rPr>
          <w:rFonts w:hint="eastAsia" w:ascii="Times New Roman" w:hAnsi="Times New Roman" w:eastAsia="仿宋_GB2312" w:cs="Times New Roman"/>
          <w:snapToGrid/>
          <w:color w:val="auto"/>
          <w:kern w:val="2"/>
          <w:sz w:val="32"/>
          <w:szCs w:val="32"/>
          <w:lang w:val="en-US" w:eastAsia="zh-CN" w:bidi="ar-SA"/>
        </w:rPr>
        <w:t>机构。</w:t>
      </w:r>
    </w:p>
    <w:p>
      <w:pPr>
        <w:ind w:firstLine="420" w:firstLineChars="200"/>
        <w:jc w:val="left"/>
        <w:rPr>
          <w:rFonts w:hint="default"/>
          <w:color w:val="auto"/>
          <w:lang w:val="en-US" w:eastAsia="zh-CN"/>
        </w:rPr>
      </w:pPr>
      <w:r>
        <w:rPr>
          <w:rFonts w:hint="default"/>
          <w:color w:val="auto"/>
          <w:lang w:val="en-US" w:eastAsia="zh-CN"/>
        </w:rPr>
        <w:drawing>
          <wp:inline distT="0" distB="0" distL="114300" distR="114300">
            <wp:extent cx="2467610" cy="5431790"/>
            <wp:effectExtent l="0" t="0" r="8890" b="16510"/>
            <wp:docPr id="6" name="图片 6" descr="617f42b9f19c3657c505f49f6d24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7f42b9f19c3657c505f49f6d24f08"/>
                    <pic:cNvPicPr>
                      <a:picLocks noChangeAspect="1"/>
                    </pic:cNvPicPr>
                  </pic:nvPicPr>
                  <pic:blipFill>
                    <a:blip r:embed="rId4"/>
                    <a:stretch>
                      <a:fillRect/>
                    </a:stretch>
                  </pic:blipFill>
                  <pic:spPr>
                    <a:xfrm>
                      <a:off x="0" y="0"/>
                      <a:ext cx="2467610" cy="5431790"/>
                    </a:xfrm>
                    <a:prstGeom prst="rect">
                      <a:avLst/>
                    </a:prstGeom>
                  </pic:spPr>
                </pic:pic>
              </a:graphicData>
            </a:graphic>
          </wp:inline>
        </w:drawing>
      </w:r>
      <w:r>
        <w:rPr>
          <w:rFonts w:hint="default"/>
          <w:color w:val="auto"/>
          <w:lang w:val="en-US" w:eastAsia="zh-CN"/>
        </w:rPr>
        <w:drawing>
          <wp:inline distT="0" distB="0" distL="114300" distR="114300">
            <wp:extent cx="2467610" cy="5428615"/>
            <wp:effectExtent l="0" t="0" r="8890" b="635"/>
            <wp:docPr id="7" name="图片 7" descr="C:\Users\Administrator\Desktop\23.pn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3.png23"/>
                    <pic:cNvPicPr>
                      <a:picLocks noChangeAspect="1"/>
                    </pic:cNvPicPr>
                  </pic:nvPicPr>
                  <pic:blipFill>
                    <a:blip r:embed="rId8"/>
                    <a:srcRect/>
                    <a:stretch>
                      <a:fillRect/>
                    </a:stretch>
                  </pic:blipFill>
                  <pic:spPr>
                    <a:xfrm>
                      <a:off x="0" y="0"/>
                      <a:ext cx="2467610" cy="5428615"/>
                    </a:xfrm>
                    <a:prstGeom prst="rect">
                      <a:avLst/>
                    </a:prstGeom>
                  </pic:spPr>
                </pic:pic>
              </a:graphicData>
            </a:graphic>
          </wp:inline>
        </w:drawing>
      </w:r>
    </w:p>
    <w:p>
      <w:pPr>
        <w:pStyle w:val="2"/>
        <w:rPr>
          <w:rFonts w:hint="eastAsia"/>
          <w:color w:val="auto"/>
          <w:lang w:val="en-US" w:eastAsia="zh-CN"/>
        </w:rPr>
      </w:pPr>
      <w:r>
        <w:rPr>
          <w:rFonts w:hint="default"/>
          <w:color w:val="auto"/>
          <w:lang w:val="en-US" w:eastAsia="zh-CN"/>
        </w:rPr>
        <w:drawing>
          <wp:inline distT="0" distB="0" distL="114300" distR="114300">
            <wp:extent cx="2466975" cy="5428615"/>
            <wp:effectExtent l="0" t="0" r="9525" b="635"/>
            <wp:docPr id="8" name="图片 8" descr="C:\Users\Administrator\Desktop\24.pn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24.png24"/>
                    <pic:cNvPicPr>
                      <a:picLocks noChangeAspect="1"/>
                    </pic:cNvPicPr>
                  </pic:nvPicPr>
                  <pic:blipFill>
                    <a:blip r:embed="rId9"/>
                    <a:srcRect/>
                    <a:stretch>
                      <a:fillRect/>
                    </a:stretch>
                  </pic:blipFill>
                  <pic:spPr>
                    <a:xfrm>
                      <a:off x="0" y="0"/>
                      <a:ext cx="2466975" cy="5428615"/>
                    </a:xfrm>
                    <a:prstGeom prst="rect">
                      <a:avLst/>
                    </a:prstGeom>
                  </pic:spPr>
                </pic:pic>
              </a:graphicData>
            </a:graphic>
          </wp:inline>
        </w:drawing>
      </w:r>
      <w:r>
        <w:rPr>
          <w:rFonts w:hint="default"/>
          <w:color w:val="auto"/>
          <w:lang w:val="en-US" w:eastAsia="zh-CN"/>
        </w:rPr>
        <w:drawing>
          <wp:inline distT="0" distB="0" distL="114300" distR="114300">
            <wp:extent cx="2466975" cy="5428615"/>
            <wp:effectExtent l="0" t="0" r="9525" b="635"/>
            <wp:docPr id="9" name="图片 9" descr="C:\Users\Administrator\Desktop\25.pn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5.png25"/>
                    <pic:cNvPicPr>
                      <a:picLocks noChangeAspect="1"/>
                    </pic:cNvPicPr>
                  </pic:nvPicPr>
                  <pic:blipFill>
                    <a:blip r:embed="rId10"/>
                    <a:srcRect/>
                    <a:stretch>
                      <a:fillRect/>
                    </a:stretch>
                  </pic:blipFill>
                  <pic:spPr>
                    <a:xfrm>
                      <a:off x="0" y="0"/>
                      <a:ext cx="2466975" cy="5428615"/>
                    </a:xfrm>
                    <a:prstGeom prst="rect">
                      <a:avLst/>
                    </a:prstGeom>
                  </pic:spPr>
                </pic:pic>
              </a:graphicData>
            </a:graphic>
          </wp:inline>
        </w:drawing>
      </w:r>
    </w:p>
    <w:p>
      <w:pPr>
        <w:pStyle w:val="2"/>
        <w:rPr>
          <w:rFonts w:hint="eastAsia"/>
          <w:color w:val="auto"/>
          <w:lang w:val="en-US" w:eastAsia="zh-CN"/>
        </w:rPr>
      </w:pPr>
    </w:p>
    <w:p>
      <w:pPr>
        <w:pStyle w:val="3"/>
        <w:rPr>
          <w:rFonts w:hint="eastAsia"/>
          <w:color w:val="auto"/>
          <w:lang w:val="en-US" w:eastAsia="zh-CN"/>
        </w:rPr>
      </w:pPr>
    </w:p>
    <w:p>
      <w:pPr>
        <w:jc w:val="center"/>
        <w:rPr>
          <w:rStyle w:val="8"/>
          <w:rFonts w:ascii="微软雅黑" w:hAnsi="微软雅黑" w:eastAsia="微软雅黑" w:cs="微软雅黑"/>
          <w:i w:val="0"/>
          <w:iCs w:val="0"/>
          <w:caps w:val="0"/>
          <w:color w:val="auto"/>
          <w:spacing w:val="8"/>
          <w:kern w:val="2"/>
          <w:sz w:val="25"/>
          <w:szCs w:val="25"/>
          <w:shd w:val="clear" w:fill="FFFFFF"/>
          <w:lang w:val="en-US" w:eastAsia="zh-CN" w:bidi="ar-SA"/>
        </w:rPr>
      </w:pPr>
      <w:r>
        <w:rPr>
          <w:rStyle w:val="8"/>
          <w:rFonts w:hint="eastAsia" w:ascii="微软雅黑" w:hAnsi="微软雅黑" w:eastAsia="微软雅黑" w:cs="微软雅黑"/>
          <w:i w:val="0"/>
          <w:iCs w:val="0"/>
          <w:caps w:val="0"/>
          <w:color w:val="auto"/>
          <w:spacing w:val="8"/>
          <w:kern w:val="2"/>
          <w:sz w:val="25"/>
          <w:szCs w:val="25"/>
          <w:shd w:val="clear" w:fill="FFFFFF"/>
          <w:lang w:val="en-US" w:eastAsia="zh-CN" w:bidi="ar-SA"/>
        </w:rPr>
        <w:t>如何</w:t>
      </w:r>
      <w:r>
        <w:rPr>
          <w:rStyle w:val="8"/>
          <w:rFonts w:ascii="微软雅黑" w:hAnsi="微软雅黑" w:eastAsia="微软雅黑" w:cs="微软雅黑"/>
          <w:i w:val="0"/>
          <w:iCs w:val="0"/>
          <w:caps w:val="0"/>
          <w:color w:val="auto"/>
          <w:spacing w:val="8"/>
          <w:kern w:val="2"/>
          <w:sz w:val="25"/>
          <w:szCs w:val="25"/>
          <w:shd w:val="clear" w:fill="FFFFFF"/>
          <w:lang w:val="en-US" w:eastAsia="zh-CN" w:bidi="ar-SA"/>
        </w:rPr>
        <w:t>在医院直接结算5</w:t>
      </w:r>
      <w:r>
        <w:rPr>
          <w:rStyle w:val="8"/>
          <w:rFonts w:hint="eastAsia" w:ascii="微软雅黑" w:hAnsi="微软雅黑" w:eastAsia="微软雅黑" w:cs="微软雅黑"/>
          <w:i w:val="0"/>
          <w:iCs w:val="0"/>
          <w:caps w:val="0"/>
          <w:color w:val="auto"/>
          <w:spacing w:val="8"/>
          <w:kern w:val="2"/>
          <w:sz w:val="25"/>
          <w:szCs w:val="25"/>
          <w:shd w:val="clear" w:fill="FFFFFF"/>
          <w:lang w:val="en-US" w:eastAsia="zh-CN" w:bidi="ar-SA"/>
        </w:rPr>
        <w:t>个</w:t>
      </w:r>
      <w:r>
        <w:rPr>
          <w:rStyle w:val="8"/>
          <w:rFonts w:ascii="微软雅黑" w:hAnsi="微软雅黑" w:eastAsia="微软雅黑" w:cs="微软雅黑"/>
          <w:i w:val="0"/>
          <w:iCs w:val="0"/>
          <w:caps w:val="0"/>
          <w:color w:val="auto"/>
          <w:spacing w:val="8"/>
          <w:kern w:val="2"/>
          <w:sz w:val="25"/>
          <w:szCs w:val="25"/>
          <w:shd w:val="clear" w:fill="FFFFFF"/>
          <w:lang w:val="en-US" w:eastAsia="zh-CN" w:bidi="ar-SA"/>
        </w:rPr>
        <w:t>门诊慢特病的相关治疗费用？</w:t>
      </w:r>
    </w:p>
    <w:p>
      <w:pPr>
        <w:ind w:firstLine="640" w:firstLineChars="200"/>
        <w:jc w:val="left"/>
        <w:rPr>
          <w:rFonts w:hint="default"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湖南参保人</w:t>
      </w:r>
      <w:r>
        <w:rPr>
          <w:rFonts w:hint="eastAsia" w:ascii="Times New Roman" w:hAnsi="Times New Roman" w:eastAsia="仿宋_GB2312" w:cs="Times New Roman"/>
          <w:b/>
          <w:bCs/>
          <w:snapToGrid/>
          <w:color w:val="auto"/>
          <w:kern w:val="2"/>
          <w:sz w:val="32"/>
          <w:szCs w:val="32"/>
          <w:lang w:val="en-US" w:eastAsia="zh-CN" w:bidi="ar-SA"/>
        </w:rPr>
        <w:t>无需进行跨省异地就医备案</w:t>
      </w:r>
      <w:r>
        <w:rPr>
          <w:rFonts w:hint="eastAsia" w:ascii="Times New Roman" w:hAnsi="Times New Roman" w:eastAsia="仿宋_GB2312" w:cs="Times New Roman"/>
          <w:snapToGrid/>
          <w:color w:val="auto"/>
          <w:kern w:val="2"/>
          <w:sz w:val="32"/>
          <w:szCs w:val="32"/>
          <w:lang w:val="en-US" w:eastAsia="zh-CN" w:bidi="ar-SA"/>
        </w:rPr>
        <w:t>，在</w:t>
      </w:r>
      <w:r>
        <w:rPr>
          <w:rFonts w:hint="eastAsia" w:ascii="Times New Roman" w:hAnsi="Times New Roman" w:eastAsia="仿宋_GB2312" w:cs="Times New Roman"/>
          <w:strike w:val="0"/>
          <w:dstrike w:val="0"/>
          <w:snapToGrid/>
          <w:color w:val="auto"/>
          <w:kern w:val="2"/>
          <w:sz w:val="32"/>
          <w:szCs w:val="32"/>
          <w:lang w:val="en-US" w:eastAsia="zh-CN" w:bidi="ar-SA"/>
        </w:rPr>
        <w:t>跨省</w:t>
      </w:r>
      <w:r>
        <w:rPr>
          <w:rFonts w:hint="eastAsia" w:ascii="Times New Roman" w:hAnsi="Times New Roman" w:eastAsia="仿宋_GB2312" w:cs="Times New Roman"/>
          <w:snapToGrid/>
          <w:color w:val="auto"/>
          <w:kern w:val="2"/>
          <w:sz w:val="32"/>
          <w:szCs w:val="32"/>
          <w:lang w:val="en-US" w:eastAsia="zh-CN" w:bidi="ar-SA"/>
        </w:rPr>
        <w:t>进行门诊慢特病</w:t>
      </w:r>
      <w:r>
        <w:rPr>
          <w:rFonts w:hint="eastAsia" w:ascii="Times New Roman" w:hAnsi="Times New Roman" w:eastAsia="仿宋_GB2312" w:cs="Times New Roman"/>
          <w:snapToGrid/>
          <w:color w:val="auto"/>
          <w:kern w:val="2"/>
          <w:sz w:val="32"/>
          <w:szCs w:val="32"/>
          <w:lang w:val="en-US" w:eastAsia="zh-CN" w:bidi="ar-SA"/>
        </w:rPr>
        <w:t>治疗</w:t>
      </w:r>
      <w:r>
        <w:rPr>
          <w:rFonts w:hint="eastAsia" w:ascii="Times New Roman" w:hAnsi="Times New Roman" w:eastAsia="仿宋_GB2312" w:cs="Times New Roman"/>
          <w:snapToGrid/>
          <w:color w:val="auto"/>
          <w:kern w:val="2"/>
          <w:sz w:val="32"/>
          <w:szCs w:val="32"/>
          <w:lang w:val="en-US" w:eastAsia="zh-CN" w:bidi="ar-SA"/>
        </w:rPr>
        <w:t>时，直接持医保电子凭证或社会保障卡到已开通门诊慢特病直接结算服务的定点医疗机构就医，在门诊挂号、就诊、结算等环节，主动告知跨省就医参保人身份和享受的门诊慢特病病种资格。定点医疗机构需查询获取门诊慢特病病种资格认定信息，方便医生提供合理诊疗服务。医生会按照就医地管理要求，专病专治，合理用药，参保人在结算窗口持医保电子凭证或社会保障卡结算，本次就医属于门诊慢特病相关治疗的医疗费用按照病种单独结算；如果同时发生了与门诊慢特病治疗无关的其他医疗费用，会按普通门诊费用和</w:t>
      </w:r>
      <w:r>
        <w:rPr>
          <w:rFonts w:hint="eastAsia" w:ascii="Times New Roman" w:hAnsi="Times New Roman" w:eastAsia="仿宋_GB2312" w:cs="Times New Roman"/>
          <w:snapToGrid/>
          <w:color w:val="auto"/>
          <w:kern w:val="2"/>
          <w:sz w:val="32"/>
          <w:szCs w:val="32"/>
          <w:lang w:val="en-US" w:eastAsia="zh-CN" w:bidi="ar-SA"/>
        </w:rPr>
        <w:t>其它</w:t>
      </w:r>
      <w:r>
        <w:rPr>
          <w:rFonts w:hint="eastAsia" w:ascii="Times New Roman" w:hAnsi="Times New Roman" w:eastAsia="仿宋_GB2312" w:cs="Times New Roman"/>
          <w:snapToGrid/>
          <w:color w:val="auto"/>
          <w:kern w:val="2"/>
          <w:sz w:val="32"/>
          <w:szCs w:val="32"/>
          <w:lang w:val="en-US" w:eastAsia="zh-CN" w:bidi="ar-SA"/>
        </w:rPr>
        <w:t>门诊慢特病相关治疗费用分开结算。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Mzg5MTI1OTFkMTdkZmQ3N2I5Zjk5NDA3NTRjZDkifQ=="/>
  </w:docVars>
  <w:rsids>
    <w:rsidRoot w:val="0BBF4A16"/>
    <w:rsid w:val="06824051"/>
    <w:rsid w:val="07162D68"/>
    <w:rsid w:val="0BBF4A16"/>
    <w:rsid w:val="0D6A0A74"/>
    <w:rsid w:val="16454C59"/>
    <w:rsid w:val="23507C11"/>
    <w:rsid w:val="247B6913"/>
    <w:rsid w:val="2A860780"/>
    <w:rsid w:val="2E156166"/>
    <w:rsid w:val="38A4207C"/>
    <w:rsid w:val="443317FF"/>
    <w:rsid w:val="61DC7777"/>
    <w:rsid w:val="62B66AFB"/>
    <w:rsid w:val="6C4E03E3"/>
    <w:rsid w:val="721F5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4"/>
    <w:basedOn w:val="1"/>
    <w:next w:val="1"/>
    <w:link w:val="9"/>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next w:val="3"/>
    <w:qFormat/>
    <w:uiPriority w:val="99"/>
    <w:rPr>
      <w:rFonts w:ascii="Times New Roman" w:hAnsi="Times New Roman"/>
    </w:rPr>
  </w:style>
  <w:style w:type="paragraph" w:styleId="3">
    <w:name w:val="index 5"/>
    <w:basedOn w:val="1"/>
    <w:next w:val="1"/>
    <w:qFormat/>
    <w:uiPriority w:val="99"/>
    <w:pPr>
      <w:ind w:left="1680"/>
    </w:pPr>
  </w:style>
  <w:style w:type="character" w:styleId="8">
    <w:name w:val="Strong"/>
    <w:basedOn w:val="7"/>
    <w:qFormat/>
    <w:uiPriority w:val="0"/>
    <w:rPr>
      <w:b/>
    </w:rPr>
  </w:style>
  <w:style w:type="character" w:customStyle="1" w:styleId="9">
    <w:name w:val="标题 4 Char"/>
    <w:link w:val="5"/>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913</Words>
  <Characters>917</Characters>
  <Lines>0</Lines>
  <Paragraphs>0</Paragraphs>
  <TotalTime>10</TotalTime>
  <ScaleCrop>false</ScaleCrop>
  <LinksUpToDate>false</LinksUpToDate>
  <CharactersWithSpaces>917</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2022-12-15T00:34:00Z</dcterms:created>
  <dc:creator>Tartarus</dc:creator>
  <cp:lastModifiedBy>彭小玲</cp:lastModifiedBy>
  <dcterms:modified xsi:type="dcterms:W3CDTF">2022-12-15T07:36:53Z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y fmtid="{D5CDD505-2E9C-101B-9397-08002B2CF9AE}" pid="3" name="ICV">
    <vt:lpwstr>120DEAB5A3BA445BA3B579F9539ABF50</vt:lpwstr>
  </property>
</Properties>
</file>